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E6030" w14:textId="77777777" w:rsidR="0012036A" w:rsidRDefault="00222CEC" w:rsidP="0012036A">
      <w:pPr>
        <w:pStyle w:val="prilozhenie"/>
        <w:ind w:left="2831"/>
        <w:rPr>
          <w:b/>
          <w:bCs/>
          <w:lang w:val="en-US"/>
        </w:rPr>
      </w:pPr>
      <w:r w:rsidRPr="00C10F7C">
        <w:rPr>
          <w:caps/>
          <w:lang w:val="en-US"/>
        </w:rPr>
        <w:t xml:space="preserve"> </w:t>
      </w:r>
      <w:r w:rsidR="0012036A">
        <w:rPr>
          <w:b/>
          <w:bCs/>
          <w:lang w:val="en-US"/>
        </w:rPr>
        <w:t>Essential Fact Message</w:t>
      </w:r>
    </w:p>
    <w:p w14:paraId="234CE882" w14:textId="77777777" w:rsidR="00AD4490" w:rsidRPr="0012036A" w:rsidRDefault="0012036A" w:rsidP="0012036A">
      <w:pPr>
        <w:pStyle w:val="prilozhenieglava"/>
        <w:spacing w:before="0" w:after="0"/>
        <w:rPr>
          <w:caps w:val="0"/>
          <w:lang w:val="en-US"/>
        </w:rPr>
      </w:pPr>
      <w:r>
        <w:rPr>
          <w:lang w:val="en-US"/>
        </w:rPr>
        <w:t>"</w:t>
      </w:r>
      <w:r>
        <w:rPr>
          <w:caps w:val="0"/>
          <w:lang w:val="en-US"/>
        </w:rPr>
        <w:t>On Certain Decisions Taken by the Issuer's Board of Directors (Supervisory Board</w:t>
      </w:r>
      <w:r>
        <w:rPr>
          <w:lang w:val="en-US"/>
        </w:rPr>
        <w:t>)</w:t>
      </w:r>
      <w:r w:rsidR="00AD4490" w:rsidRPr="0012036A">
        <w:rPr>
          <w:caps w:val="0"/>
          <w:lang w:val="en-US"/>
        </w:rPr>
        <w:t>.</w:t>
      </w:r>
    </w:p>
    <w:p w14:paraId="58807940" w14:textId="77777777" w:rsidR="003B13C5" w:rsidRPr="0012036A" w:rsidRDefault="003B13C5" w:rsidP="003B13C5">
      <w:pPr>
        <w:pStyle w:val="prilozhenieglava"/>
        <w:spacing w:before="0" w:after="0"/>
        <w:jc w:val="left"/>
        <w:rPr>
          <w:lang w:val="en-US"/>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969"/>
      </w:tblGrid>
      <w:tr w:rsidR="00B26A68" w:rsidRPr="00C10F7C" w14:paraId="63FAB47C" w14:textId="77777777" w:rsidTr="00DA4B1F">
        <w:tc>
          <w:tcPr>
            <w:tcW w:w="9497" w:type="dxa"/>
            <w:gridSpan w:val="2"/>
            <w:tcBorders>
              <w:top w:val="single" w:sz="4" w:space="0" w:color="auto"/>
              <w:left w:val="single" w:sz="4" w:space="0" w:color="auto"/>
              <w:bottom w:val="single" w:sz="4" w:space="0" w:color="auto"/>
              <w:right w:val="single" w:sz="4" w:space="0" w:color="auto"/>
            </w:tcBorders>
          </w:tcPr>
          <w:p w14:paraId="53B864AA" w14:textId="77777777" w:rsidR="00B26A68" w:rsidRPr="002C19D7" w:rsidRDefault="00B26A68" w:rsidP="00B26A68">
            <w:pPr>
              <w:pStyle w:val="prilozhenie"/>
              <w:ind w:firstLine="0"/>
              <w:jc w:val="center"/>
            </w:pPr>
            <w:r w:rsidRPr="002C19D7">
              <w:t>1. General</w:t>
            </w:r>
          </w:p>
        </w:tc>
      </w:tr>
      <w:tr w:rsidR="00B26A68" w:rsidRPr="00C10F7C" w14:paraId="2362EC77" w14:textId="77777777" w:rsidTr="00DA4B1F">
        <w:tc>
          <w:tcPr>
            <w:tcW w:w="4528" w:type="dxa"/>
            <w:tcBorders>
              <w:top w:val="single" w:sz="4" w:space="0" w:color="auto"/>
              <w:left w:val="single" w:sz="4" w:space="0" w:color="auto"/>
              <w:bottom w:val="single" w:sz="4" w:space="0" w:color="auto"/>
              <w:right w:val="single" w:sz="4" w:space="0" w:color="auto"/>
            </w:tcBorders>
          </w:tcPr>
          <w:p w14:paraId="23EAD403" w14:textId="77777777" w:rsidR="00B26A68" w:rsidRPr="002C19D7" w:rsidRDefault="00B26A68" w:rsidP="00B26A68">
            <w:pPr>
              <w:pStyle w:val="prilozhenie"/>
              <w:ind w:firstLine="0"/>
              <w:rPr>
                <w:lang w:val="en-US"/>
              </w:rPr>
            </w:pPr>
            <w:r w:rsidRPr="002C19D7">
              <w:rPr>
                <w:lang w:val="en-US"/>
              </w:rPr>
              <w:t>1.1.  Full corporate name of the Issuer</w:t>
            </w:r>
          </w:p>
        </w:tc>
        <w:tc>
          <w:tcPr>
            <w:tcW w:w="4969" w:type="dxa"/>
            <w:tcBorders>
              <w:top w:val="single" w:sz="4" w:space="0" w:color="auto"/>
              <w:left w:val="single" w:sz="4" w:space="0" w:color="auto"/>
              <w:bottom w:val="single" w:sz="4" w:space="0" w:color="auto"/>
              <w:right w:val="single" w:sz="4" w:space="0" w:color="auto"/>
            </w:tcBorders>
          </w:tcPr>
          <w:p w14:paraId="02D43E33" w14:textId="77777777" w:rsidR="00B26A68" w:rsidRPr="002C19D7" w:rsidRDefault="00B26A68" w:rsidP="00B26A68">
            <w:pPr>
              <w:jc w:val="both"/>
              <w:rPr>
                <w:sz w:val="24"/>
                <w:szCs w:val="24"/>
                <w:lang w:val="en-US"/>
              </w:rPr>
            </w:pPr>
            <w:r w:rsidRPr="002C19D7">
              <w:rPr>
                <w:sz w:val="24"/>
                <w:szCs w:val="24"/>
                <w:lang w:val="en-US"/>
              </w:rPr>
              <w:t>Public Joint Stock Company TATNEFT named after V.D. Shashin</w:t>
            </w:r>
          </w:p>
        </w:tc>
      </w:tr>
      <w:tr w:rsidR="00B26A68" w:rsidRPr="00C10F7C" w14:paraId="4B5A490D" w14:textId="77777777" w:rsidTr="00DA4B1F">
        <w:tc>
          <w:tcPr>
            <w:tcW w:w="4528" w:type="dxa"/>
            <w:tcBorders>
              <w:top w:val="single" w:sz="4" w:space="0" w:color="auto"/>
              <w:left w:val="single" w:sz="4" w:space="0" w:color="auto"/>
              <w:bottom w:val="single" w:sz="4" w:space="0" w:color="auto"/>
              <w:right w:val="single" w:sz="4" w:space="0" w:color="auto"/>
            </w:tcBorders>
          </w:tcPr>
          <w:p w14:paraId="25166514" w14:textId="77777777" w:rsidR="00B26A68" w:rsidRPr="002C19D7" w:rsidRDefault="00B26A68" w:rsidP="00B26A68">
            <w:pPr>
              <w:pStyle w:val="prilozhenie"/>
              <w:ind w:firstLine="0"/>
              <w:rPr>
                <w:lang w:val="en-US"/>
              </w:rPr>
            </w:pPr>
            <w:r w:rsidRPr="002C19D7">
              <w:rPr>
                <w:lang w:val="en-US"/>
              </w:rPr>
              <w:t>1.2. Abbreviated name of the Issuer Company</w:t>
            </w:r>
          </w:p>
        </w:tc>
        <w:tc>
          <w:tcPr>
            <w:tcW w:w="4969" w:type="dxa"/>
            <w:tcBorders>
              <w:top w:val="single" w:sz="4" w:space="0" w:color="auto"/>
              <w:left w:val="single" w:sz="4" w:space="0" w:color="auto"/>
              <w:bottom w:val="single" w:sz="4" w:space="0" w:color="auto"/>
              <w:right w:val="single" w:sz="4" w:space="0" w:color="auto"/>
            </w:tcBorders>
          </w:tcPr>
          <w:p w14:paraId="6730848F" w14:textId="77777777" w:rsidR="00B26A68" w:rsidRPr="002C19D7" w:rsidRDefault="00B26A68" w:rsidP="00B26A68">
            <w:pPr>
              <w:pStyle w:val="ConsNormal"/>
              <w:ind w:firstLine="0"/>
              <w:rPr>
                <w:rFonts w:ascii="Times New Roman" w:hAnsi="Times New Roman"/>
                <w:sz w:val="24"/>
                <w:szCs w:val="24"/>
                <w:lang w:val="en-US"/>
              </w:rPr>
            </w:pPr>
            <w:r w:rsidRPr="002C19D7">
              <w:rPr>
                <w:rFonts w:ascii="Times New Roman" w:hAnsi="Times New Roman"/>
                <w:sz w:val="24"/>
                <w:szCs w:val="24"/>
                <w:lang w:val="en-US"/>
              </w:rPr>
              <w:t xml:space="preserve">PJSC TATNEFT n. a.  V.D. Shashin </w:t>
            </w:r>
          </w:p>
        </w:tc>
      </w:tr>
      <w:tr w:rsidR="00B26A68" w:rsidRPr="00C10F7C" w14:paraId="54E7AA6F" w14:textId="77777777" w:rsidTr="00DA4B1F">
        <w:tc>
          <w:tcPr>
            <w:tcW w:w="4528" w:type="dxa"/>
            <w:tcBorders>
              <w:top w:val="single" w:sz="4" w:space="0" w:color="auto"/>
              <w:left w:val="single" w:sz="4" w:space="0" w:color="auto"/>
              <w:bottom w:val="single" w:sz="4" w:space="0" w:color="auto"/>
              <w:right w:val="single" w:sz="4" w:space="0" w:color="auto"/>
            </w:tcBorders>
          </w:tcPr>
          <w:p w14:paraId="61B14F2A" w14:textId="77777777" w:rsidR="00B26A68" w:rsidRPr="002C19D7" w:rsidRDefault="00B26A68" w:rsidP="00B26A68">
            <w:pPr>
              <w:pStyle w:val="prilozhenie"/>
              <w:ind w:firstLine="0"/>
            </w:pPr>
            <w:r w:rsidRPr="002C19D7">
              <w:t xml:space="preserve">1.3. </w:t>
            </w:r>
            <w:r w:rsidRPr="002C19D7">
              <w:rPr>
                <w:lang w:val="en-US"/>
              </w:rPr>
              <w:t>Location of the Issuer</w:t>
            </w:r>
          </w:p>
        </w:tc>
        <w:tc>
          <w:tcPr>
            <w:tcW w:w="4969" w:type="dxa"/>
            <w:tcBorders>
              <w:top w:val="single" w:sz="4" w:space="0" w:color="auto"/>
              <w:left w:val="single" w:sz="4" w:space="0" w:color="auto"/>
              <w:bottom w:val="single" w:sz="4" w:space="0" w:color="auto"/>
              <w:right w:val="single" w:sz="4" w:space="0" w:color="auto"/>
            </w:tcBorders>
          </w:tcPr>
          <w:p w14:paraId="6A36D71F" w14:textId="77777777" w:rsidR="00B26A68" w:rsidRPr="002C19D7" w:rsidRDefault="00B26A68" w:rsidP="00B26A68">
            <w:pPr>
              <w:rPr>
                <w:sz w:val="24"/>
                <w:szCs w:val="24"/>
                <w:lang w:val="en-US"/>
              </w:rPr>
            </w:pPr>
            <w:r w:rsidRPr="002C19D7">
              <w:rPr>
                <w:sz w:val="24"/>
                <w:szCs w:val="24"/>
                <w:lang w:val="en-US"/>
              </w:rPr>
              <w:t xml:space="preserve">75, Lenin Street, Almetyevsk 423450, Republic of Tatarstan, Russia, </w:t>
            </w:r>
          </w:p>
        </w:tc>
      </w:tr>
      <w:tr w:rsidR="00B26A68" w:rsidRPr="00C10F7C" w14:paraId="7981DA4F" w14:textId="77777777" w:rsidTr="00DA4B1F">
        <w:tc>
          <w:tcPr>
            <w:tcW w:w="4528" w:type="dxa"/>
            <w:tcBorders>
              <w:top w:val="single" w:sz="4" w:space="0" w:color="auto"/>
              <w:left w:val="single" w:sz="4" w:space="0" w:color="auto"/>
              <w:bottom w:val="single" w:sz="4" w:space="0" w:color="auto"/>
              <w:right w:val="single" w:sz="4" w:space="0" w:color="auto"/>
            </w:tcBorders>
          </w:tcPr>
          <w:p w14:paraId="56824CEC" w14:textId="77777777" w:rsidR="00B26A68" w:rsidRPr="002C19D7" w:rsidRDefault="00B26A68" w:rsidP="00B26A68">
            <w:pPr>
              <w:pStyle w:val="prilozhenie"/>
              <w:ind w:firstLine="0"/>
              <w:rPr>
                <w:lang w:val="en-US"/>
              </w:rPr>
            </w:pPr>
            <w:r w:rsidRPr="002C19D7">
              <w:rPr>
                <w:lang w:val="en-US"/>
              </w:rPr>
              <w:t>1.4. The Issuer's OGRN (Primary State Registration Number)</w:t>
            </w:r>
          </w:p>
        </w:tc>
        <w:tc>
          <w:tcPr>
            <w:tcW w:w="4969" w:type="dxa"/>
            <w:tcBorders>
              <w:top w:val="single" w:sz="4" w:space="0" w:color="auto"/>
              <w:left w:val="single" w:sz="4" w:space="0" w:color="auto"/>
              <w:bottom w:val="single" w:sz="4" w:space="0" w:color="auto"/>
              <w:right w:val="single" w:sz="4" w:space="0" w:color="auto"/>
            </w:tcBorders>
          </w:tcPr>
          <w:p w14:paraId="5FCDE973" w14:textId="77777777" w:rsidR="00B26A68" w:rsidRPr="002C19D7" w:rsidRDefault="00B26A68" w:rsidP="00B26A68">
            <w:pPr>
              <w:pStyle w:val="ConsNormal"/>
              <w:ind w:firstLine="0"/>
              <w:rPr>
                <w:rFonts w:ascii="Times New Roman" w:hAnsi="Times New Roman"/>
                <w:sz w:val="24"/>
                <w:szCs w:val="24"/>
              </w:rPr>
            </w:pPr>
            <w:r w:rsidRPr="002C19D7">
              <w:rPr>
                <w:rFonts w:ascii="Times New Roman" w:hAnsi="Times New Roman"/>
                <w:sz w:val="24"/>
                <w:szCs w:val="24"/>
              </w:rPr>
              <w:t>1021601623702</w:t>
            </w:r>
          </w:p>
        </w:tc>
      </w:tr>
      <w:tr w:rsidR="00B26A68" w:rsidRPr="00C10F7C" w14:paraId="3AD6B654" w14:textId="77777777" w:rsidTr="00DA4B1F">
        <w:tc>
          <w:tcPr>
            <w:tcW w:w="4528" w:type="dxa"/>
            <w:tcBorders>
              <w:top w:val="single" w:sz="4" w:space="0" w:color="auto"/>
              <w:left w:val="single" w:sz="4" w:space="0" w:color="auto"/>
              <w:bottom w:val="single" w:sz="4" w:space="0" w:color="auto"/>
              <w:right w:val="single" w:sz="4" w:space="0" w:color="auto"/>
            </w:tcBorders>
          </w:tcPr>
          <w:p w14:paraId="05A0FA5F" w14:textId="77777777" w:rsidR="00B26A68" w:rsidRPr="002C19D7" w:rsidRDefault="00B26A68" w:rsidP="00B26A68">
            <w:pPr>
              <w:pStyle w:val="prilozhenie"/>
              <w:ind w:firstLine="0"/>
              <w:rPr>
                <w:lang w:val="en-US"/>
              </w:rPr>
            </w:pPr>
            <w:r w:rsidRPr="002C19D7">
              <w:rPr>
                <w:lang w:val="en-US"/>
              </w:rPr>
              <w:t>1.5. The Issuer's INN (Individual Taxpayer Number)</w:t>
            </w:r>
          </w:p>
        </w:tc>
        <w:tc>
          <w:tcPr>
            <w:tcW w:w="4969" w:type="dxa"/>
            <w:tcBorders>
              <w:top w:val="single" w:sz="4" w:space="0" w:color="auto"/>
              <w:left w:val="single" w:sz="4" w:space="0" w:color="auto"/>
              <w:bottom w:val="single" w:sz="4" w:space="0" w:color="auto"/>
              <w:right w:val="single" w:sz="4" w:space="0" w:color="auto"/>
            </w:tcBorders>
          </w:tcPr>
          <w:p w14:paraId="0BB1B0C2" w14:textId="77777777" w:rsidR="00B26A68" w:rsidRPr="002C19D7" w:rsidRDefault="00B26A68" w:rsidP="00B26A68">
            <w:pPr>
              <w:jc w:val="both"/>
              <w:rPr>
                <w:sz w:val="24"/>
                <w:szCs w:val="24"/>
                <w:lang w:val="ru-RU"/>
              </w:rPr>
            </w:pPr>
            <w:r w:rsidRPr="002C19D7">
              <w:rPr>
                <w:sz w:val="24"/>
                <w:szCs w:val="24"/>
              </w:rPr>
              <w:t>1644003838</w:t>
            </w:r>
          </w:p>
        </w:tc>
      </w:tr>
      <w:tr w:rsidR="00B26A68" w:rsidRPr="00C10F7C" w14:paraId="46783BBF" w14:textId="77777777" w:rsidTr="00DA4B1F">
        <w:tc>
          <w:tcPr>
            <w:tcW w:w="4528" w:type="dxa"/>
            <w:tcBorders>
              <w:top w:val="single" w:sz="4" w:space="0" w:color="auto"/>
              <w:left w:val="single" w:sz="4" w:space="0" w:color="auto"/>
              <w:bottom w:val="single" w:sz="4" w:space="0" w:color="auto"/>
              <w:right w:val="single" w:sz="4" w:space="0" w:color="auto"/>
            </w:tcBorders>
          </w:tcPr>
          <w:p w14:paraId="5A1D82AA" w14:textId="77777777" w:rsidR="00B26A68" w:rsidRPr="002C19D7" w:rsidRDefault="00B26A68" w:rsidP="00B26A68">
            <w:pPr>
              <w:pStyle w:val="prilozhenie"/>
              <w:ind w:firstLine="0"/>
              <w:rPr>
                <w:lang w:val="en-US"/>
              </w:rPr>
            </w:pPr>
            <w:r w:rsidRPr="002C19D7">
              <w:rPr>
                <w:lang w:val="en-US"/>
              </w:rPr>
              <w:t>1.6. The Issuer' Unique Code assigned by the registering authority</w:t>
            </w:r>
          </w:p>
        </w:tc>
        <w:tc>
          <w:tcPr>
            <w:tcW w:w="4969" w:type="dxa"/>
            <w:tcBorders>
              <w:top w:val="single" w:sz="4" w:space="0" w:color="auto"/>
              <w:left w:val="single" w:sz="4" w:space="0" w:color="auto"/>
              <w:bottom w:val="single" w:sz="4" w:space="0" w:color="auto"/>
              <w:right w:val="single" w:sz="4" w:space="0" w:color="auto"/>
            </w:tcBorders>
          </w:tcPr>
          <w:p w14:paraId="392A9EE8" w14:textId="77777777" w:rsidR="00B26A68" w:rsidRPr="002C19D7" w:rsidRDefault="00B26A68" w:rsidP="00B26A68">
            <w:pPr>
              <w:jc w:val="both"/>
              <w:rPr>
                <w:sz w:val="24"/>
                <w:szCs w:val="24"/>
              </w:rPr>
            </w:pPr>
            <w:r w:rsidRPr="002C19D7">
              <w:rPr>
                <w:sz w:val="24"/>
                <w:szCs w:val="24"/>
              </w:rPr>
              <w:t>00161-A</w:t>
            </w:r>
          </w:p>
          <w:p w14:paraId="331EFA61" w14:textId="77777777" w:rsidR="00B26A68" w:rsidRPr="002C19D7" w:rsidRDefault="00B26A68" w:rsidP="00B26A68">
            <w:pPr>
              <w:pStyle w:val="ConsNormal"/>
              <w:rPr>
                <w:rFonts w:ascii="Times New Roman" w:hAnsi="Times New Roman"/>
                <w:sz w:val="24"/>
                <w:szCs w:val="24"/>
              </w:rPr>
            </w:pPr>
          </w:p>
        </w:tc>
      </w:tr>
      <w:tr w:rsidR="00B26A68" w:rsidRPr="00C10F7C" w14:paraId="7501C709" w14:textId="77777777" w:rsidTr="00DA4B1F">
        <w:tc>
          <w:tcPr>
            <w:tcW w:w="4528" w:type="dxa"/>
            <w:tcBorders>
              <w:top w:val="single" w:sz="4" w:space="0" w:color="auto"/>
              <w:left w:val="single" w:sz="4" w:space="0" w:color="auto"/>
              <w:bottom w:val="single" w:sz="4" w:space="0" w:color="auto"/>
              <w:right w:val="single" w:sz="4" w:space="0" w:color="auto"/>
            </w:tcBorders>
          </w:tcPr>
          <w:p w14:paraId="0D98E66E" w14:textId="77777777" w:rsidR="00B26A68" w:rsidRPr="002C19D7" w:rsidRDefault="00B26A68" w:rsidP="00B26A68">
            <w:pPr>
              <w:pStyle w:val="prilozhenie"/>
              <w:ind w:firstLine="0"/>
              <w:rPr>
                <w:lang w:val="en-US"/>
              </w:rPr>
            </w:pPr>
            <w:r w:rsidRPr="002C19D7">
              <w:rPr>
                <w:lang w:val="en-US"/>
              </w:rPr>
              <w:t>1.7. Web site address in the Internet used by the Issuer for information disclosure</w:t>
            </w:r>
          </w:p>
        </w:tc>
        <w:tc>
          <w:tcPr>
            <w:tcW w:w="4969" w:type="dxa"/>
            <w:tcBorders>
              <w:top w:val="single" w:sz="4" w:space="0" w:color="auto"/>
              <w:left w:val="single" w:sz="4" w:space="0" w:color="auto"/>
              <w:bottom w:val="single" w:sz="4" w:space="0" w:color="auto"/>
              <w:right w:val="single" w:sz="4" w:space="0" w:color="auto"/>
            </w:tcBorders>
          </w:tcPr>
          <w:p w14:paraId="3DCCCDD9" w14:textId="77777777" w:rsidR="00B26A68" w:rsidRPr="002C19D7" w:rsidRDefault="00876110" w:rsidP="003856E5">
            <w:pPr>
              <w:jc w:val="both"/>
              <w:rPr>
                <w:sz w:val="24"/>
                <w:szCs w:val="24"/>
                <w:lang w:val="en-US"/>
              </w:rPr>
            </w:pPr>
            <w:hyperlink r:id="rId6" w:history="1">
              <w:r w:rsidR="00B26A68" w:rsidRPr="002C19D7">
                <w:rPr>
                  <w:rStyle w:val="a5"/>
                  <w:sz w:val="24"/>
                  <w:szCs w:val="24"/>
                </w:rPr>
                <w:t>http</w:t>
              </w:r>
              <w:r w:rsidR="00B26A68" w:rsidRPr="002C19D7">
                <w:rPr>
                  <w:rStyle w:val="a5"/>
                  <w:sz w:val="24"/>
                  <w:szCs w:val="24"/>
                  <w:lang w:val="en-US"/>
                </w:rPr>
                <w:t>://</w:t>
              </w:r>
              <w:r w:rsidR="00B26A68" w:rsidRPr="002C19D7">
                <w:rPr>
                  <w:rStyle w:val="a5"/>
                  <w:sz w:val="24"/>
                  <w:szCs w:val="24"/>
                </w:rPr>
                <w:t>www</w:t>
              </w:r>
              <w:r w:rsidR="00B26A68" w:rsidRPr="002C19D7">
                <w:rPr>
                  <w:rStyle w:val="a5"/>
                  <w:sz w:val="24"/>
                  <w:szCs w:val="24"/>
                  <w:lang w:val="en-US"/>
                </w:rPr>
                <w:t>.</w:t>
              </w:r>
              <w:r w:rsidR="00B26A68" w:rsidRPr="002C19D7">
                <w:rPr>
                  <w:rStyle w:val="a5"/>
                  <w:sz w:val="24"/>
                  <w:szCs w:val="24"/>
                </w:rPr>
                <w:t>TATNEFT</w:t>
              </w:r>
              <w:r w:rsidR="00B26A68" w:rsidRPr="002C19D7">
                <w:rPr>
                  <w:rStyle w:val="a5"/>
                  <w:sz w:val="24"/>
                  <w:szCs w:val="24"/>
                  <w:lang w:val="en-US"/>
                </w:rPr>
                <w:t>.</w:t>
              </w:r>
              <w:r w:rsidR="00B26A68" w:rsidRPr="002C19D7">
                <w:rPr>
                  <w:rStyle w:val="a5"/>
                  <w:sz w:val="24"/>
                  <w:szCs w:val="24"/>
                </w:rPr>
                <w:t>ru</w:t>
              </w:r>
            </w:hyperlink>
            <w:r w:rsidR="00B26A68" w:rsidRPr="002C19D7">
              <w:rPr>
                <w:sz w:val="24"/>
                <w:szCs w:val="24"/>
                <w:lang w:val="en-US"/>
              </w:rPr>
              <w:t xml:space="preserve">, </w:t>
            </w:r>
            <w:hyperlink r:id="rId7" w:history="1">
              <w:r w:rsidR="00B26A68" w:rsidRPr="002C19D7">
                <w:rPr>
                  <w:rStyle w:val="a5"/>
                  <w:sz w:val="24"/>
                  <w:szCs w:val="24"/>
                </w:rPr>
                <w:t>http</w:t>
              </w:r>
              <w:r w:rsidR="00B26A68" w:rsidRPr="002C19D7">
                <w:rPr>
                  <w:rStyle w:val="a5"/>
                  <w:sz w:val="24"/>
                  <w:szCs w:val="24"/>
                  <w:lang w:val="en-US"/>
                </w:rPr>
                <w:t>://</w:t>
              </w:r>
              <w:r w:rsidR="00B26A68" w:rsidRPr="002C19D7">
                <w:rPr>
                  <w:rStyle w:val="a5"/>
                  <w:sz w:val="24"/>
                  <w:szCs w:val="24"/>
                </w:rPr>
                <w:t>disclosure</w:t>
              </w:r>
              <w:r w:rsidR="00B26A68" w:rsidRPr="002C19D7">
                <w:rPr>
                  <w:rStyle w:val="a5"/>
                  <w:sz w:val="24"/>
                  <w:szCs w:val="24"/>
                  <w:lang w:val="en-US"/>
                </w:rPr>
                <w:t>.</w:t>
              </w:r>
              <w:r w:rsidR="00B26A68" w:rsidRPr="002C19D7">
                <w:rPr>
                  <w:rStyle w:val="a5"/>
                  <w:sz w:val="24"/>
                  <w:szCs w:val="24"/>
                </w:rPr>
                <w:t>skrin</w:t>
              </w:r>
              <w:r w:rsidR="00B26A68" w:rsidRPr="002C19D7">
                <w:rPr>
                  <w:rStyle w:val="a5"/>
                  <w:sz w:val="24"/>
                  <w:szCs w:val="24"/>
                  <w:lang w:val="en-US"/>
                </w:rPr>
                <w:t>.</w:t>
              </w:r>
              <w:r w:rsidR="00B26A68" w:rsidRPr="002C19D7">
                <w:rPr>
                  <w:rStyle w:val="a5"/>
                  <w:sz w:val="24"/>
                  <w:szCs w:val="24"/>
                </w:rPr>
                <w:t>ru</w:t>
              </w:r>
              <w:r w:rsidR="00B26A68" w:rsidRPr="002C19D7">
                <w:rPr>
                  <w:rStyle w:val="a5"/>
                  <w:sz w:val="24"/>
                  <w:szCs w:val="24"/>
                  <w:lang w:val="en-US"/>
                </w:rPr>
                <w:t>/</w:t>
              </w:r>
              <w:r w:rsidR="00B26A68" w:rsidRPr="002C19D7">
                <w:rPr>
                  <w:rStyle w:val="a5"/>
                  <w:sz w:val="24"/>
                  <w:szCs w:val="24"/>
                </w:rPr>
                <w:t>disclosure</w:t>
              </w:r>
              <w:r w:rsidR="00B26A68" w:rsidRPr="002C19D7">
                <w:rPr>
                  <w:rStyle w:val="a5"/>
                  <w:sz w:val="24"/>
                  <w:szCs w:val="24"/>
                  <w:lang w:val="en-US"/>
                </w:rPr>
                <w:t>/1644003838</w:t>
              </w:r>
            </w:hyperlink>
          </w:p>
        </w:tc>
      </w:tr>
      <w:tr w:rsidR="000A3BB1" w:rsidRPr="00C10F7C" w14:paraId="064B44F3" w14:textId="77777777" w:rsidTr="000A3BB1">
        <w:trPr>
          <w:trHeight w:val="754"/>
        </w:trPr>
        <w:tc>
          <w:tcPr>
            <w:tcW w:w="4528" w:type="dxa"/>
            <w:tcBorders>
              <w:top w:val="single" w:sz="4" w:space="0" w:color="auto"/>
              <w:left w:val="single" w:sz="4" w:space="0" w:color="auto"/>
              <w:bottom w:val="single" w:sz="4" w:space="0" w:color="auto"/>
              <w:right w:val="single" w:sz="4" w:space="0" w:color="auto"/>
            </w:tcBorders>
          </w:tcPr>
          <w:p w14:paraId="603D8FDD" w14:textId="77777777" w:rsidR="000A3BB1" w:rsidRPr="002C19D7" w:rsidRDefault="000A3BB1" w:rsidP="000A3BB1">
            <w:pPr>
              <w:rPr>
                <w:sz w:val="24"/>
                <w:szCs w:val="24"/>
                <w:lang w:val="en-US"/>
              </w:rPr>
            </w:pPr>
            <w:r w:rsidRPr="002C19D7">
              <w:rPr>
                <w:sz w:val="24"/>
                <w:szCs w:val="24"/>
                <w:lang w:val="en-US"/>
              </w:rPr>
              <w:t>1.8. Date of occurrence of the event (essential fact), which the message was compiled about (or as it is applicable)</w:t>
            </w:r>
          </w:p>
        </w:tc>
        <w:tc>
          <w:tcPr>
            <w:tcW w:w="4969" w:type="dxa"/>
            <w:tcBorders>
              <w:top w:val="single" w:sz="4" w:space="0" w:color="auto"/>
              <w:left w:val="single" w:sz="4" w:space="0" w:color="auto"/>
              <w:bottom w:val="single" w:sz="4" w:space="0" w:color="auto"/>
              <w:right w:val="single" w:sz="4" w:space="0" w:color="auto"/>
            </w:tcBorders>
          </w:tcPr>
          <w:p w14:paraId="34C50B32" w14:textId="72FA00ED" w:rsidR="000A3BB1" w:rsidRPr="00035620" w:rsidRDefault="00800992" w:rsidP="003856E5">
            <w:pPr>
              <w:jc w:val="both"/>
              <w:rPr>
                <w:sz w:val="24"/>
                <w:szCs w:val="24"/>
                <w:lang w:val="ru-RU"/>
              </w:rPr>
            </w:pPr>
            <w:r>
              <w:rPr>
                <w:sz w:val="24"/>
                <w:szCs w:val="24"/>
                <w:lang w:val="en-US"/>
              </w:rPr>
              <w:t>July 2</w:t>
            </w:r>
            <w:r w:rsidR="00035620">
              <w:rPr>
                <w:sz w:val="24"/>
                <w:szCs w:val="24"/>
                <w:lang w:val="ru-RU"/>
              </w:rPr>
              <w:t>7</w:t>
            </w:r>
            <w:r w:rsidR="000A3BB1" w:rsidRPr="002C19D7">
              <w:rPr>
                <w:sz w:val="24"/>
                <w:szCs w:val="24"/>
                <w:lang w:val="en-US"/>
              </w:rPr>
              <w:t>, 20</w:t>
            </w:r>
            <w:r>
              <w:rPr>
                <w:sz w:val="24"/>
                <w:szCs w:val="24"/>
                <w:lang w:val="en-US"/>
              </w:rPr>
              <w:t>2</w:t>
            </w:r>
            <w:r w:rsidR="00035620">
              <w:rPr>
                <w:sz w:val="24"/>
                <w:szCs w:val="24"/>
                <w:lang w:val="ru-RU"/>
              </w:rPr>
              <w:t>1</w:t>
            </w:r>
          </w:p>
        </w:tc>
      </w:tr>
      <w:tr w:rsidR="00B26A68" w:rsidRPr="00C10F7C" w14:paraId="04ACEA03" w14:textId="77777777" w:rsidTr="00DA4B1F">
        <w:tc>
          <w:tcPr>
            <w:tcW w:w="9497" w:type="dxa"/>
            <w:gridSpan w:val="2"/>
            <w:tcBorders>
              <w:top w:val="single" w:sz="4" w:space="0" w:color="auto"/>
              <w:left w:val="single" w:sz="4" w:space="0" w:color="auto"/>
              <w:bottom w:val="single" w:sz="4" w:space="0" w:color="auto"/>
              <w:right w:val="single" w:sz="4" w:space="0" w:color="auto"/>
            </w:tcBorders>
          </w:tcPr>
          <w:p w14:paraId="10A0D235" w14:textId="77777777" w:rsidR="00B26A68" w:rsidRPr="002C19D7" w:rsidRDefault="00B26A68" w:rsidP="00B26A68">
            <w:pPr>
              <w:pStyle w:val="prilozhenie"/>
              <w:ind w:firstLine="0"/>
              <w:jc w:val="center"/>
            </w:pPr>
            <w:r w:rsidRPr="002C19D7">
              <w:t xml:space="preserve">2. </w:t>
            </w:r>
            <w:r w:rsidRPr="002C19D7">
              <w:rPr>
                <w:lang w:val="en-US"/>
              </w:rPr>
              <w:t>Message Content</w:t>
            </w:r>
          </w:p>
        </w:tc>
      </w:tr>
      <w:tr w:rsidR="00B26A68" w:rsidRPr="00C10F7C" w14:paraId="507E3A60" w14:textId="77777777" w:rsidTr="00DA4B1F">
        <w:tc>
          <w:tcPr>
            <w:tcW w:w="9497" w:type="dxa"/>
            <w:gridSpan w:val="2"/>
            <w:tcBorders>
              <w:top w:val="single" w:sz="4" w:space="0" w:color="auto"/>
              <w:left w:val="single" w:sz="4" w:space="0" w:color="auto"/>
              <w:bottom w:val="single" w:sz="4" w:space="0" w:color="auto"/>
              <w:right w:val="single" w:sz="4" w:space="0" w:color="auto"/>
            </w:tcBorders>
          </w:tcPr>
          <w:p w14:paraId="63EC3CA9" w14:textId="77777777" w:rsidR="001F4686" w:rsidRPr="001F4686" w:rsidRDefault="001F4686" w:rsidP="001F4686">
            <w:pPr>
              <w:pStyle w:val="10"/>
              <w:ind w:left="0"/>
              <w:rPr>
                <w:sz w:val="24"/>
                <w:szCs w:val="24"/>
                <w:lang w:val="en-US"/>
              </w:rPr>
            </w:pPr>
            <w:bookmarkStart w:id="0" w:name="_Hlk46181255"/>
            <w:r w:rsidRPr="001F4686">
              <w:rPr>
                <w:sz w:val="24"/>
                <w:szCs w:val="24"/>
                <w:lang w:val="en-US"/>
              </w:rPr>
              <w:t xml:space="preserve">2.1. </w:t>
            </w:r>
            <w:bookmarkStart w:id="1" w:name="OLE_LINK10"/>
            <w:bookmarkStart w:id="2" w:name="OLE_LINK11"/>
            <w:r w:rsidRPr="001F4686">
              <w:rPr>
                <w:sz w:val="24"/>
                <w:szCs w:val="24"/>
                <w:lang w:val="en-US"/>
              </w:rPr>
              <w:t>Quorum of the Board of Directors (Supervisory Board) of the Joint Stock Company’s meeting and the results of voting on the issues of the decisions</w:t>
            </w:r>
            <w:bookmarkEnd w:id="1"/>
            <w:bookmarkEnd w:id="2"/>
            <w:r w:rsidRPr="001F4686">
              <w:rPr>
                <w:sz w:val="24"/>
                <w:szCs w:val="24"/>
                <w:lang w:val="en-US"/>
              </w:rPr>
              <w:t xml:space="preserve"> taken: </w:t>
            </w:r>
          </w:p>
          <w:p w14:paraId="78E011F5" w14:textId="2F3B5A57" w:rsidR="001F4686" w:rsidRPr="001F4686" w:rsidRDefault="001F4686" w:rsidP="001F4686">
            <w:pPr>
              <w:pStyle w:val="10"/>
              <w:ind w:left="0"/>
              <w:jc w:val="both"/>
              <w:rPr>
                <w:sz w:val="24"/>
                <w:szCs w:val="24"/>
                <w:lang w:val="en-US"/>
              </w:rPr>
            </w:pPr>
            <w:r w:rsidRPr="001F4686">
              <w:rPr>
                <w:sz w:val="24"/>
                <w:szCs w:val="24"/>
                <w:lang w:val="en-US"/>
              </w:rPr>
              <w:t>There were 1</w:t>
            </w:r>
            <w:r w:rsidR="00876110" w:rsidRPr="00876110">
              <w:rPr>
                <w:sz w:val="24"/>
                <w:szCs w:val="24"/>
                <w:lang w:val="en-US"/>
              </w:rPr>
              <w:t>4</w:t>
            </w:r>
            <w:r w:rsidRPr="001F4686">
              <w:rPr>
                <w:sz w:val="24"/>
                <w:szCs w:val="24"/>
                <w:lang w:val="en-US"/>
              </w:rPr>
              <w:t xml:space="preserve"> of 15 Board members taking part in the voting. The quorum w</w:t>
            </w:r>
            <w:r w:rsidR="00876110">
              <w:rPr>
                <w:sz w:val="24"/>
                <w:szCs w:val="24"/>
                <w:lang w:val="en-US"/>
              </w:rPr>
              <w:t>as available. Voting results: 14</w:t>
            </w:r>
            <w:r w:rsidRPr="001F4686">
              <w:rPr>
                <w:sz w:val="24"/>
                <w:szCs w:val="24"/>
                <w:lang w:val="en-US"/>
              </w:rPr>
              <w:t xml:space="preserve"> members of the Board of Directors out of 1</w:t>
            </w:r>
            <w:r w:rsidR="00876110" w:rsidRPr="00876110">
              <w:rPr>
                <w:sz w:val="24"/>
                <w:szCs w:val="24"/>
                <w:lang w:val="en-US"/>
              </w:rPr>
              <w:t>4</w:t>
            </w:r>
            <w:r w:rsidRPr="001F4686">
              <w:rPr>
                <w:sz w:val="24"/>
                <w:szCs w:val="24"/>
                <w:lang w:val="en-US"/>
              </w:rPr>
              <w:t xml:space="preserve"> persons present at the meeting took part in voting on items 1-3 of the meeting’s agenda: Voting results were unanimously "FOR".</w:t>
            </w:r>
          </w:p>
          <w:p w14:paraId="471DD9CB" w14:textId="77777777" w:rsidR="001F4686" w:rsidRPr="001F4686" w:rsidRDefault="001F4686" w:rsidP="001F4686">
            <w:pPr>
              <w:pStyle w:val="10"/>
              <w:ind w:left="0"/>
              <w:jc w:val="both"/>
              <w:rPr>
                <w:sz w:val="24"/>
                <w:szCs w:val="24"/>
                <w:lang w:val="en-US"/>
              </w:rPr>
            </w:pPr>
            <w:r w:rsidRPr="001F4686">
              <w:rPr>
                <w:sz w:val="24"/>
                <w:szCs w:val="24"/>
                <w:lang w:val="en-US"/>
              </w:rPr>
              <w:t>Voting on items 4-7 on the meeting agenda of the was attended by 3 members of the Board of Directors out of 3 members who meet the independence criteria established by Clause 8.4 of the Company's Articles, as well as the requirements of Article 83 of the Federal Law "On Joint Stock Companies" No. 208-FZ dated December 26, 1995. The voting results are unanimously "FOR".</w:t>
            </w:r>
          </w:p>
          <w:p w14:paraId="5F3908E7" w14:textId="77777777" w:rsidR="001F4686" w:rsidRPr="001F4686" w:rsidRDefault="001F4686" w:rsidP="001F4686">
            <w:pPr>
              <w:autoSpaceDN w:val="0"/>
              <w:rPr>
                <w:sz w:val="24"/>
                <w:szCs w:val="24"/>
                <w:lang w:val="en-US"/>
              </w:rPr>
            </w:pPr>
          </w:p>
          <w:p w14:paraId="6BFE734F" w14:textId="77777777" w:rsidR="0053464D" w:rsidRPr="000B45F4" w:rsidRDefault="0053464D" w:rsidP="0053464D">
            <w:pPr>
              <w:autoSpaceDN w:val="0"/>
              <w:rPr>
                <w:sz w:val="24"/>
                <w:szCs w:val="24"/>
                <w:lang w:val="en-US"/>
              </w:rPr>
            </w:pPr>
            <w:r w:rsidRPr="00CE6C22">
              <w:rPr>
                <w:sz w:val="24"/>
                <w:szCs w:val="24"/>
                <w:lang w:val="en-US"/>
              </w:rPr>
              <w:t>2.2. Content of</w:t>
            </w:r>
            <w:r>
              <w:rPr>
                <w:sz w:val="24"/>
                <w:szCs w:val="24"/>
                <w:lang w:val="en-US"/>
              </w:rPr>
              <w:t xml:space="preserve"> the</w:t>
            </w:r>
            <w:r w:rsidRPr="00CE6C22">
              <w:rPr>
                <w:sz w:val="24"/>
                <w:szCs w:val="24"/>
                <w:lang w:val="en-US"/>
              </w:rPr>
              <w:t xml:space="preserve"> decisions made by the Board of Directors of the Joint Stock Company:</w:t>
            </w:r>
          </w:p>
          <w:p w14:paraId="1B9A89C0" w14:textId="77777777" w:rsidR="0053464D" w:rsidRDefault="0053464D" w:rsidP="0053464D">
            <w:pPr>
              <w:autoSpaceDN w:val="0"/>
              <w:ind w:left="456" w:hanging="456"/>
              <w:jc w:val="both"/>
              <w:rPr>
                <w:sz w:val="24"/>
                <w:szCs w:val="24"/>
                <w:lang w:val="en-US"/>
              </w:rPr>
            </w:pPr>
          </w:p>
          <w:p w14:paraId="12A33B88" w14:textId="0A50565A" w:rsidR="0053464D" w:rsidRPr="000B45F4" w:rsidRDefault="0053464D" w:rsidP="0053464D">
            <w:pPr>
              <w:tabs>
                <w:tab w:val="left" w:pos="916"/>
              </w:tabs>
              <w:autoSpaceDN w:val="0"/>
              <w:ind w:left="633" w:hanging="633"/>
              <w:jc w:val="both"/>
              <w:rPr>
                <w:sz w:val="24"/>
                <w:szCs w:val="24"/>
                <w:lang w:val="en-US"/>
              </w:rPr>
            </w:pPr>
            <w:r>
              <w:rPr>
                <w:sz w:val="24"/>
                <w:szCs w:val="24"/>
                <w:lang w:val="en-US"/>
              </w:rPr>
              <w:t xml:space="preserve">      </w:t>
            </w:r>
            <w:r w:rsidRPr="00876110">
              <w:rPr>
                <w:sz w:val="24"/>
                <w:szCs w:val="24"/>
                <w:lang w:val="en-US"/>
              </w:rPr>
              <w:t xml:space="preserve">  </w:t>
            </w:r>
            <w:proofErr w:type="gramStart"/>
            <w:r>
              <w:rPr>
                <w:sz w:val="24"/>
                <w:szCs w:val="24"/>
                <w:lang w:val="en-US"/>
              </w:rPr>
              <w:t>1.</w:t>
            </w:r>
            <w:r w:rsidRPr="000B45F4">
              <w:rPr>
                <w:sz w:val="24"/>
                <w:szCs w:val="24"/>
                <w:lang w:val="en-US"/>
              </w:rPr>
              <w:t xml:space="preserve">  On the results of the PJSC TATNEFT n.a. V.D. Shashin</w:t>
            </w:r>
            <w:proofErr w:type="gramEnd"/>
            <w:r w:rsidRPr="000B45F4">
              <w:rPr>
                <w:sz w:val="24"/>
                <w:szCs w:val="24"/>
                <w:lang w:val="en-US"/>
              </w:rPr>
              <w:t xml:space="preserve"> budget execution for the first </w:t>
            </w:r>
            <w:r>
              <w:rPr>
                <w:sz w:val="24"/>
                <w:szCs w:val="24"/>
                <w:lang w:val="en-US"/>
              </w:rPr>
              <w:t>half</w:t>
            </w:r>
            <w:r w:rsidRPr="000B45F4">
              <w:rPr>
                <w:sz w:val="24"/>
                <w:szCs w:val="24"/>
                <w:lang w:val="en-US"/>
              </w:rPr>
              <w:t xml:space="preserve"> </w:t>
            </w:r>
            <w:r>
              <w:rPr>
                <w:sz w:val="24"/>
                <w:szCs w:val="24"/>
                <w:lang w:val="en-US"/>
              </w:rPr>
              <w:t xml:space="preserve">  </w:t>
            </w:r>
            <w:r w:rsidRPr="000B45F4">
              <w:rPr>
                <w:sz w:val="24"/>
                <w:szCs w:val="24"/>
                <w:lang w:val="en-US"/>
              </w:rPr>
              <w:t>of 20</w:t>
            </w:r>
            <w:r>
              <w:rPr>
                <w:sz w:val="24"/>
                <w:szCs w:val="24"/>
                <w:lang w:val="en-US"/>
              </w:rPr>
              <w:t>2</w:t>
            </w:r>
            <w:r w:rsidRPr="000260F5">
              <w:rPr>
                <w:sz w:val="24"/>
                <w:szCs w:val="24"/>
                <w:lang w:val="en-US"/>
              </w:rPr>
              <w:t>1</w:t>
            </w:r>
            <w:r>
              <w:rPr>
                <w:sz w:val="24"/>
                <w:szCs w:val="24"/>
                <w:lang w:val="en-US"/>
              </w:rPr>
              <w:t xml:space="preserve"> </w:t>
            </w:r>
            <w:r w:rsidRPr="000B45F4">
              <w:rPr>
                <w:sz w:val="24"/>
                <w:szCs w:val="24"/>
                <w:lang w:val="en-US"/>
              </w:rPr>
              <w:t xml:space="preserve">and </w:t>
            </w:r>
            <w:r>
              <w:rPr>
                <w:sz w:val="24"/>
                <w:szCs w:val="24"/>
                <w:lang w:val="en-US"/>
              </w:rPr>
              <w:t xml:space="preserve">on the </w:t>
            </w:r>
            <w:r w:rsidRPr="000B45F4">
              <w:rPr>
                <w:sz w:val="24"/>
                <w:szCs w:val="24"/>
                <w:lang w:val="en-US"/>
              </w:rPr>
              <w:t xml:space="preserve">approval of the budget for </w:t>
            </w:r>
            <w:r>
              <w:rPr>
                <w:sz w:val="24"/>
                <w:szCs w:val="24"/>
                <w:lang w:val="en-US"/>
              </w:rPr>
              <w:t>August</w:t>
            </w:r>
            <w:r w:rsidRPr="000B45F4">
              <w:rPr>
                <w:sz w:val="24"/>
                <w:szCs w:val="24"/>
                <w:lang w:val="en-US"/>
              </w:rPr>
              <w:t xml:space="preserve"> of 20</w:t>
            </w:r>
            <w:r>
              <w:rPr>
                <w:sz w:val="24"/>
                <w:szCs w:val="24"/>
                <w:lang w:val="en-US"/>
              </w:rPr>
              <w:t>2</w:t>
            </w:r>
            <w:r w:rsidRPr="000260F5">
              <w:rPr>
                <w:sz w:val="24"/>
                <w:szCs w:val="24"/>
                <w:lang w:val="en-US"/>
              </w:rPr>
              <w:t>1</w:t>
            </w:r>
            <w:r w:rsidRPr="000B45F4">
              <w:rPr>
                <w:sz w:val="24"/>
                <w:szCs w:val="24"/>
                <w:lang w:val="en-US"/>
              </w:rPr>
              <w:t>.</w:t>
            </w:r>
          </w:p>
          <w:p w14:paraId="21C78CB6" w14:textId="77777777" w:rsidR="000260F5" w:rsidRDefault="000260F5" w:rsidP="000260F5">
            <w:pPr>
              <w:ind w:left="360"/>
              <w:rPr>
                <w:lang w:val="en-US"/>
              </w:rPr>
            </w:pPr>
          </w:p>
          <w:p w14:paraId="60A559D7" w14:textId="77777777" w:rsidR="00A33F02" w:rsidRDefault="00A33F02" w:rsidP="00A33F02">
            <w:pPr>
              <w:ind w:left="775" w:hanging="415"/>
              <w:rPr>
                <w:sz w:val="24"/>
                <w:szCs w:val="24"/>
                <w:lang w:val="en-US"/>
              </w:rPr>
            </w:pPr>
            <w:r>
              <w:rPr>
                <w:sz w:val="24"/>
                <w:szCs w:val="24"/>
                <w:lang w:val="en-US"/>
              </w:rPr>
              <w:t xml:space="preserve">    - The information o</w:t>
            </w:r>
            <w:r w:rsidR="00A91B05" w:rsidRPr="000260F5">
              <w:rPr>
                <w:sz w:val="24"/>
                <w:szCs w:val="24"/>
                <w:lang w:val="en-US"/>
              </w:rPr>
              <w:t>n the results of the budget execution of PJSC TATNEFT named after V.D. Shashin for the half of 2021</w:t>
            </w:r>
            <w:r>
              <w:rPr>
                <w:sz w:val="24"/>
                <w:szCs w:val="24"/>
                <w:lang w:val="en-US"/>
              </w:rPr>
              <w:t xml:space="preserve"> shall be taken into consideration.</w:t>
            </w:r>
          </w:p>
          <w:p w14:paraId="5826796D" w14:textId="7DC6089F" w:rsidR="00A91B05" w:rsidRPr="000260F5" w:rsidRDefault="00A33F02" w:rsidP="000260F5">
            <w:pPr>
              <w:ind w:left="360"/>
              <w:rPr>
                <w:sz w:val="24"/>
                <w:szCs w:val="24"/>
                <w:lang w:val="en-US"/>
              </w:rPr>
            </w:pPr>
            <w:r>
              <w:rPr>
                <w:sz w:val="24"/>
                <w:szCs w:val="24"/>
                <w:lang w:val="en-US"/>
              </w:rPr>
              <w:t xml:space="preserve">     -</w:t>
            </w:r>
            <w:r w:rsidR="00A91B05" w:rsidRPr="000260F5">
              <w:rPr>
                <w:sz w:val="24"/>
                <w:szCs w:val="24"/>
                <w:lang w:val="en-US"/>
              </w:rPr>
              <w:t xml:space="preserve"> and budget approval for August 2021</w:t>
            </w:r>
            <w:r>
              <w:rPr>
                <w:sz w:val="24"/>
                <w:szCs w:val="24"/>
                <w:lang w:val="en-US"/>
              </w:rPr>
              <w:t xml:space="preserve"> shall be enacted</w:t>
            </w:r>
            <w:r w:rsidR="00A91B05" w:rsidRPr="000260F5">
              <w:rPr>
                <w:sz w:val="24"/>
                <w:szCs w:val="24"/>
                <w:lang w:val="en-US"/>
              </w:rPr>
              <w:t>.</w:t>
            </w:r>
          </w:p>
          <w:p w14:paraId="5AB62AFF" w14:textId="77777777" w:rsidR="00A33F02" w:rsidRDefault="00A33F02" w:rsidP="008673BF">
            <w:pPr>
              <w:pStyle w:val="a6"/>
              <w:ind w:hanging="371"/>
              <w:rPr>
                <w:rFonts w:ascii="Times New Roman" w:hAnsi="Times New Roman"/>
                <w:lang w:val="en-US"/>
              </w:rPr>
            </w:pPr>
          </w:p>
          <w:p w14:paraId="570D1FDD" w14:textId="3145B825" w:rsidR="00A91B05" w:rsidRPr="000260F5" w:rsidRDefault="008673BF" w:rsidP="008673BF">
            <w:pPr>
              <w:pStyle w:val="a6"/>
              <w:ind w:hanging="371"/>
              <w:rPr>
                <w:rFonts w:ascii="Times New Roman" w:hAnsi="Times New Roman"/>
                <w:lang w:val="en-US"/>
              </w:rPr>
            </w:pPr>
            <w:r>
              <w:rPr>
                <w:rFonts w:ascii="Times New Roman" w:hAnsi="Times New Roman"/>
                <w:lang w:val="en-US"/>
              </w:rPr>
              <w:t xml:space="preserve">2. </w:t>
            </w:r>
            <w:r w:rsidR="00A91B05" w:rsidRPr="000260F5">
              <w:rPr>
                <w:rFonts w:ascii="Times New Roman" w:hAnsi="Times New Roman"/>
                <w:lang w:val="en-US"/>
              </w:rPr>
              <w:t>On the progress of the TANECO complex construction. Development forecasts and plans.</w:t>
            </w:r>
          </w:p>
          <w:p w14:paraId="399017F4" w14:textId="77777777" w:rsidR="00344737" w:rsidRDefault="00344737" w:rsidP="009E7D44">
            <w:pPr>
              <w:pStyle w:val="a6"/>
              <w:rPr>
                <w:rFonts w:ascii="Times New Roman" w:hAnsi="Times New Roman"/>
                <w:lang w:val="en-US"/>
              </w:rPr>
            </w:pPr>
          </w:p>
          <w:p w14:paraId="29A3A438" w14:textId="2A06C9B3" w:rsidR="00344737" w:rsidRPr="00344737" w:rsidRDefault="00344737" w:rsidP="00344737">
            <w:pPr>
              <w:pStyle w:val="a6"/>
              <w:rPr>
                <w:rFonts w:ascii="Times New Roman" w:hAnsi="Times New Roman"/>
                <w:lang w:val="en-US"/>
              </w:rPr>
            </w:pPr>
            <w:r w:rsidRPr="00344737">
              <w:rPr>
                <w:rFonts w:ascii="Times New Roman" w:hAnsi="Times New Roman"/>
                <w:lang w:val="en-US"/>
              </w:rPr>
              <w:t>- The information on the current status of implementi</w:t>
            </w:r>
            <w:r>
              <w:rPr>
                <w:rFonts w:ascii="Times New Roman" w:hAnsi="Times New Roman"/>
                <w:lang w:val="en-US"/>
              </w:rPr>
              <w:t>ng</w:t>
            </w:r>
            <w:r w:rsidRPr="00344737">
              <w:rPr>
                <w:rFonts w:ascii="Times New Roman" w:hAnsi="Times New Roman"/>
                <w:lang w:val="en-US"/>
              </w:rPr>
              <w:t xml:space="preserve"> the TANECO Complex </w:t>
            </w:r>
            <w:r>
              <w:rPr>
                <w:rFonts w:ascii="Times New Roman" w:hAnsi="Times New Roman"/>
                <w:lang w:val="en-US"/>
              </w:rPr>
              <w:t xml:space="preserve">project shall be </w:t>
            </w:r>
            <w:r w:rsidRPr="00344737">
              <w:rPr>
                <w:rFonts w:ascii="Times New Roman" w:hAnsi="Times New Roman"/>
                <w:lang w:val="en-US"/>
              </w:rPr>
              <w:t>take</w:t>
            </w:r>
            <w:r>
              <w:rPr>
                <w:rFonts w:ascii="Times New Roman" w:hAnsi="Times New Roman"/>
                <w:lang w:val="en-US"/>
              </w:rPr>
              <w:t>n into consideration</w:t>
            </w:r>
            <w:r w:rsidRPr="00344737">
              <w:rPr>
                <w:rFonts w:ascii="Times New Roman" w:hAnsi="Times New Roman"/>
                <w:lang w:val="en-US"/>
              </w:rPr>
              <w:t>.</w:t>
            </w:r>
          </w:p>
          <w:p w14:paraId="434F96FF" w14:textId="77777777" w:rsidR="00467A1F" w:rsidRDefault="00344737" w:rsidP="00344737">
            <w:pPr>
              <w:pStyle w:val="a6"/>
              <w:rPr>
                <w:rFonts w:ascii="Times New Roman" w:hAnsi="Times New Roman"/>
                <w:lang w:val="en-US"/>
              </w:rPr>
            </w:pPr>
            <w:r w:rsidRPr="00344737">
              <w:rPr>
                <w:rFonts w:ascii="Times New Roman" w:hAnsi="Times New Roman"/>
                <w:lang w:val="en-US"/>
              </w:rPr>
              <w:t xml:space="preserve">  -Ensure the completion of construction and installation works and the beginning of </w:t>
            </w:r>
            <w:r w:rsidR="005376AA">
              <w:rPr>
                <w:rFonts w:ascii="Times New Roman" w:hAnsi="Times New Roman"/>
                <w:lang w:val="en-US"/>
              </w:rPr>
              <w:t xml:space="preserve">the </w:t>
            </w:r>
            <w:r w:rsidRPr="00344737">
              <w:rPr>
                <w:rFonts w:ascii="Times New Roman" w:hAnsi="Times New Roman"/>
                <w:lang w:val="en-US"/>
              </w:rPr>
              <w:t xml:space="preserve">complex testing: delayed coking unit (UZK-2), diesel fuel </w:t>
            </w:r>
            <w:proofErr w:type="spellStart"/>
            <w:r w:rsidRPr="00344737">
              <w:rPr>
                <w:rFonts w:ascii="Times New Roman" w:hAnsi="Times New Roman"/>
                <w:lang w:val="en-US"/>
              </w:rPr>
              <w:t>isodewaxing</w:t>
            </w:r>
            <w:proofErr w:type="spellEnd"/>
            <w:r w:rsidRPr="00344737">
              <w:rPr>
                <w:rFonts w:ascii="Times New Roman" w:hAnsi="Times New Roman"/>
                <w:lang w:val="en-US"/>
              </w:rPr>
              <w:t xml:space="preserve"> unit, gas fractionation unit, pilot </w:t>
            </w:r>
            <w:r w:rsidR="00467A1F">
              <w:rPr>
                <w:rFonts w:ascii="Times New Roman" w:hAnsi="Times New Roman"/>
                <w:lang w:val="en-US"/>
              </w:rPr>
              <w:t>c</w:t>
            </w:r>
          </w:p>
          <w:p w14:paraId="05DFC872" w14:textId="608A019A" w:rsidR="00344737" w:rsidRPr="00344737" w:rsidRDefault="00467A1F" w:rsidP="00344737">
            <w:pPr>
              <w:pStyle w:val="a6"/>
              <w:rPr>
                <w:rFonts w:ascii="Times New Roman" w:hAnsi="Times New Roman"/>
                <w:lang w:val="en-US"/>
              </w:rPr>
            </w:pPr>
            <w:r>
              <w:rPr>
                <w:rFonts w:ascii="Times New Roman" w:hAnsi="Times New Roman"/>
                <w:lang w:val="en-US"/>
              </w:rPr>
              <w:t>commercial</w:t>
            </w:r>
            <w:r w:rsidR="00344737" w:rsidRPr="00344737">
              <w:rPr>
                <w:rFonts w:ascii="Times New Roman" w:hAnsi="Times New Roman"/>
                <w:lang w:val="en-US"/>
              </w:rPr>
              <w:t xml:space="preserve"> </w:t>
            </w:r>
            <w:proofErr w:type="spellStart"/>
            <w:r w:rsidR="00344737" w:rsidRPr="00344737">
              <w:rPr>
                <w:rFonts w:ascii="Times New Roman" w:hAnsi="Times New Roman"/>
                <w:lang w:val="en-US"/>
              </w:rPr>
              <w:t>hydroconversion</w:t>
            </w:r>
            <w:proofErr w:type="spellEnd"/>
            <w:r w:rsidR="00344737" w:rsidRPr="00344737">
              <w:rPr>
                <w:rFonts w:ascii="Times New Roman" w:hAnsi="Times New Roman"/>
                <w:lang w:val="en-US"/>
              </w:rPr>
              <w:t xml:space="preserve"> unit.</w:t>
            </w:r>
          </w:p>
          <w:p w14:paraId="7519778E" w14:textId="70DB99E2" w:rsidR="00344737" w:rsidRPr="00344737" w:rsidRDefault="00344737" w:rsidP="00344737">
            <w:pPr>
              <w:pStyle w:val="a6"/>
              <w:rPr>
                <w:rFonts w:ascii="Times New Roman" w:hAnsi="Times New Roman"/>
                <w:lang w:val="en-US"/>
              </w:rPr>
            </w:pPr>
            <w:r w:rsidRPr="00344737">
              <w:rPr>
                <w:rFonts w:ascii="Times New Roman" w:hAnsi="Times New Roman"/>
                <w:lang w:val="en-US"/>
              </w:rPr>
              <w:t xml:space="preserve">  - </w:t>
            </w:r>
            <w:r w:rsidR="00E83F20">
              <w:rPr>
                <w:rFonts w:ascii="Times New Roman" w:hAnsi="Times New Roman"/>
                <w:lang w:val="en-US"/>
              </w:rPr>
              <w:t>e</w:t>
            </w:r>
            <w:r w:rsidRPr="00344737">
              <w:rPr>
                <w:rFonts w:ascii="Times New Roman" w:hAnsi="Times New Roman"/>
                <w:lang w:val="en-US"/>
              </w:rPr>
              <w:t xml:space="preserve">nsure the </w:t>
            </w:r>
            <w:r w:rsidR="00E83F20" w:rsidRPr="00E83F20">
              <w:rPr>
                <w:rFonts w:ascii="Times New Roman" w:hAnsi="Times New Roman"/>
                <w:lang w:val="en-US"/>
              </w:rPr>
              <w:t>milestone schedule</w:t>
            </w:r>
            <w:r w:rsidR="00E83F20">
              <w:rPr>
                <w:rFonts w:ascii="Times New Roman" w:hAnsi="Times New Roman"/>
                <w:lang w:val="en-US"/>
              </w:rPr>
              <w:t xml:space="preserve"> </w:t>
            </w:r>
            <w:r w:rsidR="00E83F20" w:rsidRPr="00344737">
              <w:rPr>
                <w:rFonts w:ascii="Times New Roman" w:hAnsi="Times New Roman"/>
                <w:lang w:val="en-US"/>
              </w:rPr>
              <w:t xml:space="preserve">fulfillment </w:t>
            </w:r>
            <w:r w:rsidR="00E83F20">
              <w:rPr>
                <w:rFonts w:ascii="Times New Roman" w:hAnsi="Times New Roman"/>
                <w:lang w:val="en-US"/>
              </w:rPr>
              <w:t>for</w:t>
            </w:r>
            <w:r w:rsidRPr="00344737">
              <w:rPr>
                <w:rFonts w:ascii="Times New Roman" w:hAnsi="Times New Roman"/>
                <w:lang w:val="en-US"/>
              </w:rPr>
              <w:t xml:space="preserve"> the implementation of the second stage facilities of the TANECO Complex.</w:t>
            </w:r>
          </w:p>
          <w:p w14:paraId="0DA9B455" w14:textId="6D0C80FD" w:rsidR="00344737" w:rsidRDefault="00344737" w:rsidP="00344737">
            <w:pPr>
              <w:pStyle w:val="a6"/>
              <w:rPr>
                <w:rFonts w:ascii="Times New Roman" w:hAnsi="Times New Roman"/>
                <w:lang w:val="en-US"/>
              </w:rPr>
            </w:pPr>
            <w:r w:rsidRPr="00344737">
              <w:rPr>
                <w:rFonts w:ascii="Times New Roman" w:hAnsi="Times New Roman"/>
                <w:lang w:val="en-US"/>
              </w:rPr>
              <w:t xml:space="preserve">  - Ensure the transition of the proposed initiatives into the investment phase.</w:t>
            </w:r>
          </w:p>
          <w:p w14:paraId="30BAA547" w14:textId="0CFA4ECD" w:rsidR="009E7D44" w:rsidRDefault="008515FD" w:rsidP="008515FD">
            <w:pPr>
              <w:pStyle w:val="a6"/>
              <w:ind w:hanging="371"/>
              <w:rPr>
                <w:rFonts w:ascii="Times New Roman" w:hAnsi="Times New Roman"/>
                <w:lang w:val="en-US"/>
              </w:rPr>
            </w:pPr>
            <w:r>
              <w:rPr>
                <w:rFonts w:ascii="Times New Roman" w:hAnsi="Times New Roman"/>
                <w:lang w:val="en-US"/>
              </w:rPr>
              <w:lastRenderedPageBreak/>
              <w:t xml:space="preserve">3.   </w:t>
            </w:r>
            <w:r w:rsidR="00A91B05" w:rsidRPr="000260F5">
              <w:rPr>
                <w:rFonts w:ascii="Times New Roman" w:hAnsi="Times New Roman"/>
                <w:lang w:val="en-US"/>
              </w:rPr>
              <w:t>On the development of the industrial safety, labor protection and the environment protection function at the TATNEFT Group.</w:t>
            </w:r>
          </w:p>
          <w:p w14:paraId="5E5346D9" w14:textId="4EC23C56" w:rsidR="009E7D44" w:rsidRDefault="008515FD" w:rsidP="009E7D44">
            <w:pPr>
              <w:pStyle w:val="a6"/>
              <w:rPr>
                <w:rFonts w:ascii="Times New Roman" w:hAnsi="Times New Roman"/>
                <w:lang w:val="en-US"/>
              </w:rPr>
            </w:pPr>
            <w:r>
              <w:rPr>
                <w:rFonts w:ascii="Times New Roman" w:hAnsi="Times New Roman"/>
                <w:lang w:val="en-US"/>
              </w:rPr>
              <w:t xml:space="preserve">- </w:t>
            </w:r>
            <w:r w:rsidRPr="00344737">
              <w:rPr>
                <w:rFonts w:ascii="Times New Roman" w:hAnsi="Times New Roman"/>
                <w:lang w:val="en-US"/>
              </w:rPr>
              <w:t>The information on the</w:t>
            </w:r>
            <w:r w:rsidRPr="000260F5">
              <w:rPr>
                <w:rFonts w:ascii="Times New Roman" w:hAnsi="Times New Roman"/>
                <w:lang w:val="en-US"/>
              </w:rPr>
              <w:t xml:space="preserve"> development of the industrial safety, labor protection and </w:t>
            </w:r>
            <w:r>
              <w:rPr>
                <w:rFonts w:ascii="Times New Roman" w:hAnsi="Times New Roman"/>
                <w:lang w:val="en-US"/>
              </w:rPr>
              <w:t xml:space="preserve"> </w:t>
            </w:r>
            <w:r w:rsidRPr="000260F5">
              <w:rPr>
                <w:rFonts w:ascii="Times New Roman" w:hAnsi="Times New Roman"/>
                <w:lang w:val="en-US"/>
              </w:rPr>
              <w:t xml:space="preserve"> environment protection function at the TATNEFT Group</w:t>
            </w:r>
            <w:r>
              <w:rPr>
                <w:rFonts w:ascii="Times New Roman" w:hAnsi="Times New Roman"/>
                <w:lang w:val="en-US"/>
              </w:rPr>
              <w:t xml:space="preserve"> shall be taken into consideration.</w:t>
            </w:r>
          </w:p>
          <w:p w14:paraId="257CE366" w14:textId="23C56BBE" w:rsidR="008515FD" w:rsidRDefault="009E7D44" w:rsidP="009E7D44">
            <w:pPr>
              <w:rPr>
                <w:sz w:val="24"/>
                <w:szCs w:val="24"/>
                <w:lang w:val="en-US"/>
              </w:rPr>
            </w:pPr>
            <w:r w:rsidRPr="008515FD">
              <w:rPr>
                <w:sz w:val="24"/>
                <w:szCs w:val="24"/>
                <w:lang w:val="en-US"/>
              </w:rPr>
              <w:t xml:space="preserve">      </w:t>
            </w:r>
            <w:r w:rsidR="00B63B05">
              <w:rPr>
                <w:sz w:val="24"/>
                <w:szCs w:val="24"/>
                <w:lang w:val="en-US"/>
              </w:rPr>
              <w:t xml:space="preserve">  </w:t>
            </w:r>
          </w:p>
          <w:p w14:paraId="7BD59D7A" w14:textId="661EA01F" w:rsidR="00A91B05" w:rsidRPr="008515FD" w:rsidRDefault="00B63B05" w:rsidP="009E7D44">
            <w:pPr>
              <w:rPr>
                <w:sz w:val="24"/>
                <w:szCs w:val="24"/>
                <w:lang w:val="en-US"/>
              </w:rPr>
            </w:pPr>
            <w:r>
              <w:rPr>
                <w:sz w:val="24"/>
                <w:szCs w:val="24"/>
                <w:lang w:val="en-US"/>
              </w:rPr>
              <w:t xml:space="preserve">     </w:t>
            </w:r>
            <w:r w:rsidR="008515FD" w:rsidRPr="008515FD">
              <w:rPr>
                <w:sz w:val="24"/>
                <w:szCs w:val="24"/>
                <w:lang w:val="en-US"/>
              </w:rPr>
              <w:t>4</w:t>
            </w:r>
            <w:r w:rsidR="009E7D44" w:rsidRPr="008515FD">
              <w:rPr>
                <w:sz w:val="24"/>
                <w:szCs w:val="24"/>
                <w:lang w:val="en-US"/>
              </w:rPr>
              <w:t xml:space="preserve">.  </w:t>
            </w:r>
            <w:r w:rsidR="00A91B05" w:rsidRPr="008515FD">
              <w:rPr>
                <w:sz w:val="24"/>
                <w:szCs w:val="24"/>
                <w:lang w:val="en-US"/>
              </w:rPr>
              <w:t>On determining the monetary value (price) of a related party transaction.</w:t>
            </w:r>
          </w:p>
          <w:p w14:paraId="0056B4AF" w14:textId="04D76BBB" w:rsidR="008515FD" w:rsidRDefault="00332739" w:rsidP="0099297A">
            <w:pPr>
              <w:pStyle w:val="a6"/>
              <w:ind w:left="1058" w:hanging="338"/>
              <w:rPr>
                <w:rFonts w:ascii="Times New Roman" w:hAnsi="Times New Roman"/>
                <w:lang w:val="en-US"/>
              </w:rPr>
            </w:pPr>
            <w:r>
              <w:rPr>
                <w:rFonts w:ascii="Times New Roman" w:hAnsi="Times New Roman"/>
                <w:lang w:val="en-US"/>
              </w:rPr>
              <w:t xml:space="preserve">- </w:t>
            </w:r>
            <w:r w:rsidR="0099297A">
              <w:rPr>
                <w:rFonts w:ascii="Times New Roman" w:hAnsi="Times New Roman"/>
                <w:lang w:val="en-US"/>
              </w:rPr>
              <w:t xml:space="preserve">    </w:t>
            </w:r>
            <w:r w:rsidRPr="00332739">
              <w:rPr>
                <w:rFonts w:ascii="Times New Roman" w:hAnsi="Times New Roman"/>
                <w:lang w:val="en-US"/>
              </w:rPr>
              <w:t xml:space="preserve">In accordance with Article 77 of the Federal Law </w:t>
            </w:r>
            <w:r w:rsidR="00223540" w:rsidRPr="00332739">
              <w:rPr>
                <w:rFonts w:ascii="Times New Roman" w:hAnsi="Times New Roman"/>
                <w:lang w:val="en-US"/>
              </w:rPr>
              <w:t xml:space="preserve">No. 208-FZ </w:t>
            </w:r>
            <w:r w:rsidRPr="00332739">
              <w:rPr>
                <w:rFonts w:ascii="Times New Roman" w:hAnsi="Times New Roman"/>
                <w:lang w:val="en-US"/>
              </w:rPr>
              <w:t xml:space="preserve">dated </w:t>
            </w:r>
            <w:r w:rsidR="00223540">
              <w:rPr>
                <w:rFonts w:ascii="Times New Roman" w:hAnsi="Times New Roman"/>
                <w:lang w:val="en-US"/>
              </w:rPr>
              <w:t xml:space="preserve">December </w:t>
            </w:r>
            <w:r w:rsidRPr="00332739">
              <w:rPr>
                <w:rFonts w:ascii="Times New Roman" w:hAnsi="Times New Roman"/>
                <w:lang w:val="en-US"/>
              </w:rPr>
              <w:t>26</w:t>
            </w:r>
            <w:r w:rsidR="00223540">
              <w:rPr>
                <w:rFonts w:ascii="Times New Roman" w:hAnsi="Times New Roman"/>
                <w:lang w:val="en-US"/>
              </w:rPr>
              <w:t xml:space="preserve">, </w:t>
            </w:r>
            <w:r w:rsidRPr="00332739">
              <w:rPr>
                <w:rFonts w:ascii="Times New Roman" w:hAnsi="Times New Roman"/>
                <w:lang w:val="en-US"/>
              </w:rPr>
              <w:t>1995 "On Joint Stock Companies" determine that the monetary value (price) of the surety agreement (independent guarantee) to be concluded between PJSC TATNEFT n.a. V.D. Shashin and the Hungarian Open Joint Stock Company of the Oil and Gas Industry "MOL"</w:t>
            </w:r>
            <w:r w:rsidR="00223540">
              <w:rPr>
                <w:rFonts w:ascii="Times New Roman" w:hAnsi="Times New Roman"/>
                <w:lang w:val="en-US"/>
              </w:rPr>
              <w:t xml:space="preserve"> (MOL)</w:t>
            </w:r>
            <w:r w:rsidRPr="00332739">
              <w:rPr>
                <w:rFonts w:ascii="Times New Roman" w:hAnsi="Times New Roman"/>
                <w:lang w:val="en-US"/>
              </w:rPr>
              <w:t xml:space="preserve">, should not exceed 10,500,000.00 US dollars, which on the </w:t>
            </w:r>
            <w:r w:rsidR="00223540" w:rsidRPr="00332739">
              <w:rPr>
                <w:rFonts w:ascii="Times New Roman" w:hAnsi="Times New Roman"/>
                <w:lang w:val="en-US"/>
              </w:rPr>
              <w:t xml:space="preserve">notification </w:t>
            </w:r>
            <w:r w:rsidRPr="00332739">
              <w:rPr>
                <w:rFonts w:ascii="Times New Roman" w:hAnsi="Times New Roman"/>
                <w:lang w:val="en-US"/>
              </w:rPr>
              <w:t xml:space="preserve">date of the intention to conclude </w:t>
            </w:r>
            <w:r w:rsidR="00223540">
              <w:rPr>
                <w:rFonts w:ascii="Times New Roman" w:hAnsi="Times New Roman"/>
                <w:lang w:val="en-US"/>
              </w:rPr>
              <w:t>a  related</w:t>
            </w:r>
            <w:r w:rsidRPr="00332739">
              <w:rPr>
                <w:rFonts w:ascii="Times New Roman" w:hAnsi="Times New Roman"/>
                <w:lang w:val="en-US"/>
              </w:rPr>
              <w:t>-party transaction (</w:t>
            </w:r>
            <w:r w:rsidR="00223540">
              <w:rPr>
                <w:rFonts w:ascii="Times New Roman" w:hAnsi="Times New Roman"/>
                <w:lang w:val="en-US"/>
              </w:rPr>
              <w:t xml:space="preserve">July </w:t>
            </w:r>
            <w:r w:rsidRPr="00332739">
              <w:rPr>
                <w:rFonts w:ascii="Times New Roman" w:hAnsi="Times New Roman"/>
                <w:lang w:val="en-US"/>
              </w:rPr>
              <w:t>02</w:t>
            </w:r>
            <w:r w:rsidR="00223540">
              <w:rPr>
                <w:rFonts w:ascii="Times New Roman" w:hAnsi="Times New Roman"/>
                <w:lang w:val="en-US"/>
              </w:rPr>
              <w:t>,</w:t>
            </w:r>
            <w:r w:rsidR="0099297A">
              <w:rPr>
                <w:rFonts w:ascii="Times New Roman" w:hAnsi="Times New Roman"/>
                <w:lang w:val="en-US"/>
              </w:rPr>
              <w:t xml:space="preserve"> </w:t>
            </w:r>
            <w:r w:rsidRPr="00332739">
              <w:rPr>
                <w:rFonts w:ascii="Times New Roman" w:hAnsi="Times New Roman"/>
                <w:lang w:val="en-US"/>
              </w:rPr>
              <w:t xml:space="preserve">2021) </w:t>
            </w:r>
            <w:r w:rsidR="0099297A">
              <w:rPr>
                <w:rFonts w:ascii="Times New Roman" w:hAnsi="Times New Roman"/>
                <w:lang w:val="en-US"/>
              </w:rPr>
              <w:t>was</w:t>
            </w:r>
            <w:r w:rsidRPr="00332739">
              <w:rPr>
                <w:rFonts w:ascii="Times New Roman" w:hAnsi="Times New Roman"/>
                <w:lang w:val="en-US"/>
              </w:rPr>
              <w:t xml:space="preserve"> equivalent to the amount of money in the amount of </w:t>
            </w:r>
            <w:r w:rsidR="0099297A">
              <w:rPr>
                <w:rFonts w:ascii="Times New Roman" w:hAnsi="Times New Roman"/>
                <w:lang w:val="en-US"/>
              </w:rPr>
              <w:t xml:space="preserve">RUB </w:t>
            </w:r>
            <w:r w:rsidRPr="00332739">
              <w:rPr>
                <w:rFonts w:ascii="Times New Roman" w:hAnsi="Times New Roman"/>
                <w:lang w:val="en-US"/>
              </w:rPr>
              <w:t>765,555,000 (seven hundred sixty-five million five hundred fifty-five thousand)</w:t>
            </w:r>
            <w:r w:rsidR="0099297A">
              <w:rPr>
                <w:rFonts w:ascii="Times New Roman" w:hAnsi="Times New Roman"/>
                <w:lang w:val="en-US"/>
              </w:rPr>
              <w:t xml:space="preserve">, </w:t>
            </w:r>
            <w:r w:rsidRPr="00332739">
              <w:rPr>
                <w:rFonts w:ascii="Times New Roman" w:hAnsi="Times New Roman"/>
                <w:lang w:val="en-US"/>
              </w:rPr>
              <w:t xml:space="preserve">which </w:t>
            </w:r>
            <w:r w:rsidR="0099297A">
              <w:rPr>
                <w:rFonts w:ascii="Times New Roman" w:hAnsi="Times New Roman"/>
                <w:lang w:val="en-US"/>
              </w:rPr>
              <w:t>accounted for</w:t>
            </w:r>
            <w:r w:rsidRPr="00332739">
              <w:rPr>
                <w:rFonts w:ascii="Times New Roman" w:hAnsi="Times New Roman"/>
                <w:lang w:val="en-US"/>
              </w:rPr>
              <w:t xml:space="preserve"> 0.09% of the </w:t>
            </w:r>
            <w:r w:rsidR="0099297A" w:rsidRPr="00332739">
              <w:rPr>
                <w:rFonts w:ascii="Times New Roman" w:hAnsi="Times New Roman"/>
                <w:lang w:val="en-US"/>
              </w:rPr>
              <w:t xml:space="preserve">assets </w:t>
            </w:r>
            <w:r w:rsidRPr="00332739">
              <w:rPr>
                <w:rFonts w:ascii="Times New Roman" w:hAnsi="Times New Roman"/>
                <w:lang w:val="en-US"/>
              </w:rPr>
              <w:t>book value of  PJSC TATNEFT n</w:t>
            </w:r>
            <w:r w:rsidR="0099297A">
              <w:rPr>
                <w:rFonts w:ascii="Times New Roman" w:hAnsi="Times New Roman"/>
                <w:lang w:val="en-US"/>
              </w:rPr>
              <w:t>.</w:t>
            </w:r>
            <w:r w:rsidRPr="00332739">
              <w:rPr>
                <w:rFonts w:ascii="Times New Roman" w:hAnsi="Times New Roman"/>
                <w:lang w:val="en-US"/>
              </w:rPr>
              <w:t>a</w:t>
            </w:r>
            <w:r w:rsidR="0099297A">
              <w:rPr>
                <w:rFonts w:ascii="Times New Roman" w:hAnsi="Times New Roman"/>
                <w:lang w:val="en-US"/>
              </w:rPr>
              <w:t>.</w:t>
            </w:r>
            <w:r w:rsidRPr="00332739">
              <w:rPr>
                <w:rFonts w:ascii="Times New Roman" w:hAnsi="Times New Roman"/>
                <w:lang w:val="en-US"/>
              </w:rPr>
              <w:t xml:space="preserve"> V.D. Shashin, determined according to the financial statements as of the last reporting date (</w:t>
            </w:r>
            <w:r w:rsidR="0099297A">
              <w:rPr>
                <w:rFonts w:ascii="Times New Roman" w:hAnsi="Times New Roman"/>
                <w:lang w:val="en-US"/>
              </w:rPr>
              <w:t xml:space="preserve">March </w:t>
            </w:r>
            <w:r w:rsidRPr="00332739">
              <w:rPr>
                <w:rFonts w:ascii="Times New Roman" w:hAnsi="Times New Roman"/>
                <w:lang w:val="en-US"/>
              </w:rPr>
              <w:t>31</w:t>
            </w:r>
            <w:r w:rsidR="0099297A">
              <w:rPr>
                <w:rFonts w:ascii="Times New Roman" w:hAnsi="Times New Roman"/>
                <w:lang w:val="en-US"/>
              </w:rPr>
              <w:t xml:space="preserve">, </w:t>
            </w:r>
            <w:r w:rsidRPr="00332739">
              <w:rPr>
                <w:rFonts w:ascii="Times New Roman" w:hAnsi="Times New Roman"/>
                <w:lang w:val="en-US"/>
              </w:rPr>
              <w:t>2021).</w:t>
            </w:r>
          </w:p>
          <w:p w14:paraId="6BCEE7BD" w14:textId="77777777" w:rsidR="00332739" w:rsidRDefault="00332739" w:rsidP="008515FD">
            <w:pPr>
              <w:pStyle w:val="a6"/>
              <w:rPr>
                <w:rFonts w:ascii="Times New Roman" w:hAnsi="Times New Roman"/>
                <w:lang w:val="en-US"/>
              </w:rPr>
            </w:pPr>
          </w:p>
          <w:p w14:paraId="4D07556B" w14:textId="6041C409" w:rsidR="00A91B05" w:rsidRPr="00332739" w:rsidRDefault="00A91B05" w:rsidP="00332739">
            <w:pPr>
              <w:pStyle w:val="a6"/>
              <w:numPr>
                <w:ilvl w:val="0"/>
                <w:numId w:val="32"/>
              </w:numPr>
              <w:rPr>
                <w:rFonts w:ascii="Times New Roman" w:hAnsi="Times New Roman"/>
                <w:lang w:val="en-US"/>
              </w:rPr>
            </w:pPr>
            <w:r w:rsidRPr="00332739">
              <w:rPr>
                <w:rFonts w:ascii="Times New Roman" w:hAnsi="Times New Roman"/>
                <w:lang w:val="en-US"/>
              </w:rPr>
              <w:t>On consent to conclude the related party transaction.</w:t>
            </w:r>
          </w:p>
          <w:p w14:paraId="570DFF0D" w14:textId="4EFE8C7C" w:rsidR="00332739" w:rsidRPr="00332739" w:rsidRDefault="00332739" w:rsidP="00332739">
            <w:pPr>
              <w:pStyle w:val="a6"/>
              <w:rPr>
                <w:rFonts w:ascii="Times New Roman" w:hAnsi="Times New Roman"/>
                <w:lang w:val="en-US"/>
              </w:rPr>
            </w:pPr>
          </w:p>
          <w:p w14:paraId="1F5135A1" w14:textId="706DB867" w:rsidR="00223540" w:rsidRPr="00223540" w:rsidRDefault="00223540" w:rsidP="00223540">
            <w:pPr>
              <w:pStyle w:val="a6"/>
              <w:ind w:left="916" w:hanging="196"/>
              <w:rPr>
                <w:rFonts w:ascii="Times New Roman" w:hAnsi="Times New Roman"/>
                <w:lang w:val="en-US"/>
              </w:rPr>
            </w:pPr>
            <w:r w:rsidRPr="00223540">
              <w:rPr>
                <w:rFonts w:ascii="Times New Roman" w:hAnsi="Times New Roman"/>
                <w:lang w:val="en-US"/>
              </w:rPr>
              <w:t xml:space="preserve">- </w:t>
            </w:r>
            <w:r w:rsidR="0099297A">
              <w:rPr>
                <w:rFonts w:ascii="Times New Roman" w:hAnsi="Times New Roman"/>
                <w:lang w:val="en-US"/>
              </w:rPr>
              <w:t xml:space="preserve"> </w:t>
            </w:r>
            <w:r w:rsidRPr="00223540">
              <w:rPr>
                <w:rFonts w:ascii="Times New Roman" w:hAnsi="Times New Roman"/>
                <w:lang w:val="en-US"/>
              </w:rPr>
              <w:t xml:space="preserve">Agree to conclude a surety agreement (independent guarantee) between the </w:t>
            </w:r>
            <w:r w:rsidR="0099297A" w:rsidRPr="00223540">
              <w:rPr>
                <w:rFonts w:ascii="Times New Roman" w:hAnsi="Times New Roman"/>
                <w:lang w:val="en-US"/>
              </w:rPr>
              <w:t xml:space="preserve">Public Joint-Stock Company </w:t>
            </w:r>
            <w:r w:rsidRPr="00223540">
              <w:rPr>
                <w:rFonts w:ascii="Times New Roman" w:hAnsi="Times New Roman"/>
                <w:lang w:val="en-US"/>
              </w:rPr>
              <w:t xml:space="preserve">TATNEFT named after V.D. Shashin and the Hungarian Open Joint Stock Company of the Oil and Gas Industry "MOL" as a </w:t>
            </w:r>
            <w:r w:rsidR="0099297A">
              <w:rPr>
                <w:rFonts w:ascii="Times New Roman" w:hAnsi="Times New Roman"/>
                <w:lang w:val="en-US"/>
              </w:rPr>
              <w:t>rela</w:t>
            </w:r>
            <w:r w:rsidRPr="00223540">
              <w:rPr>
                <w:rFonts w:ascii="Times New Roman" w:hAnsi="Times New Roman"/>
                <w:lang w:val="en-US"/>
              </w:rPr>
              <w:t>ted party transaction on the following essential conditions:</w:t>
            </w:r>
          </w:p>
          <w:p w14:paraId="79AF976C" w14:textId="77777777" w:rsidR="00223540" w:rsidRDefault="00223540" w:rsidP="00223540">
            <w:pPr>
              <w:pStyle w:val="a6"/>
              <w:rPr>
                <w:rFonts w:ascii="Times New Roman" w:hAnsi="Times New Roman"/>
                <w:lang w:val="en-US"/>
              </w:rPr>
            </w:pPr>
            <w:r>
              <w:rPr>
                <w:rFonts w:ascii="Times New Roman" w:hAnsi="Times New Roman"/>
                <w:lang w:val="en-US"/>
              </w:rPr>
              <w:t xml:space="preserve"> </w:t>
            </w:r>
          </w:p>
          <w:p w14:paraId="098326A7" w14:textId="769628FE" w:rsidR="00223540" w:rsidRPr="00223540" w:rsidRDefault="00223540" w:rsidP="00223540">
            <w:pPr>
              <w:pStyle w:val="a6"/>
              <w:ind w:left="1058" w:hanging="142"/>
              <w:rPr>
                <w:rFonts w:ascii="Times New Roman" w:hAnsi="Times New Roman"/>
                <w:lang w:val="en-US"/>
              </w:rPr>
            </w:pPr>
            <w:r w:rsidRPr="00223540">
              <w:rPr>
                <w:rFonts w:ascii="Times New Roman" w:hAnsi="Times New Roman"/>
                <w:lang w:val="en-US"/>
              </w:rPr>
              <w:t>• parties to the transaction:</w:t>
            </w:r>
          </w:p>
          <w:p w14:paraId="076E7AE3" w14:textId="44F8A09A" w:rsidR="00223540" w:rsidRPr="00223540" w:rsidRDefault="00223540" w:rsidP="0099297A">
            <w:pPr>
              <w:pStyle w:val="a6"/>
              <w:ind w:left="1200" w:hanging="142"/>
              <w:rPr>
                <w:rFonts w:ascii="Times New Roman" w:hAnsi="Times New Roman"/>
                <w:lang w:val="en-US"/>
              </w:rPr>
            </w:pPr>
            <w:r w:rsidRPr="00223540">
              <w:rPr>
                <w:rFonts w:ascii="Times New Roman" w:hAnsi="Times New Roman"/>
                <w:lang w:val="en-US"/>
              </w:rPr>
              <w:t>- Guarantor - Public Joint Stock Company TATNEFT named after V.D. Shashin (PJSC TATNEFT n.a. V.D. Shashin);</w:t>
            </w:r>
          </w:p>
          <w:p w14:paraId="346CFC01" w14:textId="77777777" w:rsidR="00223540" w:rsidRPr="00223540" w:rsidRDefault="00223540" w:rsidP="0099297A">
            <w:pPr>
              <w:pStyle w:val="a6"/>
              <w:ind w:left="1200" w:hanging="142"/>
              <w:rPr>
                <w:rFonts w:ascii="Times New Roman" w:hAnsi="Times New Roman"/>
                <w:lang w:val="en-US"/>
              </w:rPr>
            </w:pPr>
            <w:r w:rsidRPr="00223540">
              <w:rPr>
                <w:rFonts w:ascii="Times New Roman" w:hAnsi="Times New Roman"/>
                <w:lang w:val="en-US"/>
              </w:rPr>
              <w:t xml:space="preserve">- Beneficiary - </w:t>
            </w:r>
            <w:proofErr w:type="spellStart"/>
            <w:r w:rsidRPr="00223540">
              <w:rPr>
                <w:rFonts w:ascii="Times New Roman" w:hAnsi="Times New Roman"/>
                <w:lang w:val="en-US"/>
              </w:rPr>
              <w:t>Hngarian</w:t>
            </w:r>
            <w:proofErr w:type="spellEnd"/>
            <w:r w:rsidRPr="00223540">
              <w:rPr>
                <w:rFonts w:ascii="Times New Roman" w:hAnsi="Times New Roman"/>
                <w:lang w:val="en-US"/>
              </w:rPr>
              <w:t xml:space="preserve"> Open Joint Stock Company MOL of the Oil and Gas Industry (“MOL”).</w:t>
            </w:r>
          </w:p>
          <w:p w14:paraId="540C8C47" w14:textId="77777777" w:rsidR="00223540" w:rsidRPr="00223540" w:rsidRDefault="00223540" w:rsidP="00223540">
            <w:pPr>
              <w:pStyle w:val="a6"/>
              <w:ind w:left="1058" w:hanging="142"/>
              <w:rPr>
                <w:rFonts w:ascii="Times New Roman" w:hAnsi="Times New Roman"/>
                <w:lang w:val="en-US"/>
              </w:rPr>
            </w:pPr>
            <w:r w:rsidRPr="00223540">
              <w:rPr>
                <w:rFonts w:ascii="Times New Roman" w:hAnsi="Times New Roman"/>
                <w:lang w:val="en-US"/>
              </w:rPr>
              <w:t>• beneficiary under the transaction:</w:t>
            </w:r>
          </w:p>
          <w:p w14:paraId="006E5870" w14:textId="27BBF333" w:rsidR="00223540" w:rsidRPr="00223540" w:rsidRDefault="0040255D" w:rsidP="00223540">
            <w:pPr>
              <w:pStyle w:val="a6"/>
              <w:ind w:left="1058" w:hanging="142"/>
              <w:rPr>
                <w:rFonts w:ascii="Times New Roman" w:hAnsi="Times New Roman"/>
                <w:lang w:val="en-US"/>
              </w:rPr>
            </w:pPr>
            <w:r>
              <w:rPr>
                <w:rFonts w:ascii="Times New Roman" w:hAnsi="Times New Roman"/>
                <w:lang w:val="en-US"/>
              </w:rPr>
              <w:t xml:space="preserve">   </w:t>
            </w:r>
            <w:r w:rsidR="00223540" w:rsidRPr="00223540">
              <w:rPr>
                <w:rFonts w:ascii="Times New Roman" w:hAnsi="Times New Roman"/>
                <w:lang w:val="en-US"/>
              </w:rPr>
              <w:t>Principal - Joint Stock Company TANECO (JSC TANECO).</w:t>
            </w:r>
          </w:p>
          <w:p w14:paraId="24436F98" w14:textId="75222CFD" w:rsidR="00223540" w:rsidRPr="00223540" w:rsidRDefault="00223540" w:rsidP="0040255D">
            <w:pPr>
              <w:pStyle w:val="a6"/>
              <w:ind w:left="1200" w:hanging="284"/>
              <w:rPr>
                <w:rFonts w:ascii="Times New Roman" w:hAnsi="Times New Roman"/>
                <w:lang w:val="en-US"/>
              </w:rPr>
            </w:pPr>
            <w:r w:rsidRPr="00223540">
              <w:rPr>
                <w:rFonts w:ascii="Times New Roman" w:hAnsi="Times New Roman"/>
                <w:lang w:val="en-US"/>
              </w:rPr>
              <w:t xml:space="preserve">• Subject of the transaction: PJSC TATNEFT n.a. V.D. Shashin undertakes to fulfill the obligations of </w:t>
            </w:r>
            <w:r w:rsidR="0040255D" w:rsidRPr="00223540">
              <w:rPr>
                <w:rFonts w:ascii="Times New Roman" w:hAnsi="Times New Roman"/>
                <w:lang w:val="en-US"/>
              </w:rPr>
              <w:t xml:space="preserve">JSC </w:t>
            </w:r>
            <w:r w:rsidRPr="00223540">
              <w:rPr>
                <w:rFonts w:ascii="Times New Roman" w:hAnsi="Times New Roman"/>
                <w:lang w:val="en-US"/>
              </w:rPr>
              <w:t xml:space="preserve">TANECO, established by the Corporate Agreement concluded between MOL, </w:t>
            </w:r>
            <w:r w:rsidR="00672A80" w:rsidRPr="00223540">
              <w:rPr>
                <w:rFonts w:ascii="Times New Roman" w:hAnsi="Times New Roman"/>
                <w:lang w:val="en-US"/>
              </w:rPr>
              <w:t xml:space="preserve">JSC </w:t>
            </w:r>
            <w:r w:rsidRPr="00223540">
              <w:rPr>
                <w:rFonts w:ascii="Times New Roman" w:hAnsi="Times New Roman"/>
                <w:lang w:val="en-US"/>
              </w:rPr>
              <w:t xml:space="preserve">TANECO and </w:t>
            </w:r>
            <w:r w:rsidR="00672A80">
              <w:rPr>
                <w:rFonts w:ascii="Times New Roman" w:hAnsi="Times New Roman"/>
                <w:lang w:val="en-US"/>
              </w:rPr>
              <w:t xml:space="preserve">OOO </w:t>
            </w:r>
            <w:r w:rsidRPr="00223540">
              <w:rPr>
                <w:rFonts w:ascii="Times New Roman" w:hAnsi="Times New Roman"/>
                <w:lang w:val="en-US"/>
              </w:rPr>
              <w:t>RMB-Russ, as well as the TANECO Call Option Agreement, the MOL Put Option Agreement and the Option Agreement call for buyback, between MO and JSC TANECO.</w:t>
            </w:r>
          </w:p>
          <w:p w14:paraId="4A1CE8D2" w14:textId="0425DDB3" w:rsidR="00223540" w:rsidRPr="00223540" w:rsidRDefault="00223540" w:rsidP="00223540">
            <w:pPr>
              <w:pStyle w:val="a6"/>
              <w:ind w:left="1058" w:hanging="142"/>
              <w:rPr>
                <w:rFonts w:ascii="Times New Roman" w:hAnsi="Times New Roman"/>
                <w:lang w:val="en-US"/>
              </w:rPr>
            </w:pPr>
            <w:r w:rsidRPr="00223540">
              <w:rPr>
                <w:rFonts w:ascii="Times New Roman" w:hAnsi="Times New Roman"/>
                <w:lang w:val="en-US"/>
              </w:rPr>
              <w:t>• Transaction price: the amounts payable by the Guarantor under the surety agreement (independent guarantee) to the Beneficiary in the event of improper performance by the Principal of his obligations, in aggregate, sh</w:t>
            </w:r>
            <w:r w:rsidR="005E65D8">
              <w:rPr>
                <w:rFonts w:ascii="Times New Roman" w:hAnsi="Times New Roman"/>
                <w:lang w:val="en-US"/>
              </w:rPr>
              <w:t xml:space="preserve">all </w:t>
            </w:r>
            <w:r w:rsidRPr="00223540">
              <w:rPr>
                <w:rFonts w:ascii="Times New Roman" w:hAnsi="Times New Roman"/>
                <w:lang w:val="en-US"/>
              </w:rPr>
              <w:t xml:space="preserve">not exceed </w:t>
            </w:r>
            <w:r w:rsidR="005E65D8" w:rsidRPr="00223540">
              <w:rPr>
                <w:rFonts w:ascii="Times New Roman" w:hAnsi="Times New Roman"/>
                <w:lang w:val="en-US"/>
              </w:rPr>
              <w:t>US</w:t>
            </w:r>
            <w:r w:rsidR="005E65D8">
              <w:rPr>
                <w:rFonts w:ascii="Times New Roman" w:hAnsi="Times New Roman"/>
                <w:lang w:val="en-US"/>
              </w:rPr>
              <w:t>D</w:t>
            </w:r>
            <w:r w:rsidR="005E65D8" w:rsidRPr="00223540">
              <w:rPr>
                <w:rFonts w:ascii="Times New Roman" w:hAnsi="Times New Roman"/>
                <w:lang w:val="en-US"/>
              </w:rPr>
              <w:t xml:space="preserve"> </w:t>
            </w:r>
            <w:r w:rsidRPr="00223540">
              <w:rPr>
                <w:rFonts w:ascii="Times New Roman" w:hAnsi="Times New Roman"/>
                <w:lang w:val="en-US"/>
              </w:rPr>
              <w:t xml:space="preserve">10,500,000.00, which as of the </w:t>
            </w:r>
            <w:r w:rsidR="005E65D8" w:rsidRPr="00223540">
              <w:rPr>
                <w:rFonts w:ascii="Times New Roman" w:hAnsi="Times New Roman"/>
                <w:lang w:val="en-US"/>
              </w:rPr>
              <w:t xml:space="preserve">intention </w:t>
            </w:r>
            <w:r w:rsidRPr="00223540">
              <w:rPr>
                <w:rFonts w:ascii="Times New Roman" w:hAnsi="Times New Roman"/>
                <w:lang w:val="en-US"/>
              </w:rPr>
              <w:t xml:space="preserve">notification </w:t>
            </w:r>
            <w:r w:rsidR="005E65D8" w:rsidRPr="00223540">
              <w:rPr>
                <w:rFonts w:ascii="Times New Roman" w:hAnsi="Times New Roman"/>
                <w:lang w:val="en-US"/>
              </w:rPr>
              <w:t xml:space="preserve">date of </w:t>
            </w:r>
            <w:r w:rsidRPr="00223540">
              <w:rPr>
                <w:rFonts w:ascii="Times New Roman" w:hAnsi="Times New Roman"/>
                <w:lang w:val="en-US"/>
              </w:rPr>
              <w:t xml:space="preserve">to conclude </w:t>
            </w:r>
            <w:r w:rsidR="005E65D8">
              <w:rPr>
                <w:rFonts w:ascii="Times New Roman" w:hAnsi="Times New Roman"/>
                <w:lang w:val="en-US"/>
              </w:rPr>
              <w:t xml:space="preserve">the </w:t>
            </w:r>
            <w:r w:rsidRPr="00223540">
              <w:rPr>
                <w:rFonts w:ascii="Times New Roman" w:hAnsi="Times New Roman"/>
                <w:lang w:val="en-US"/>
              </w:rPr>
              <w:t>transaction (</w:t>
            </w:r>
            <w:r w:rsidR="0040255D">
              <w:rPr>
                <w:rFonts w:ascii="Times New Roman" w:hAnsi="Times New Roman"/>
                <w:lang w:val="en-US"/>
              </w:rPr>
              <w:t xml:space="preserve">July </w:t>
            </w:r>
            <w:r w:rsidRPr="00223540">
              <w:rPr>
                <w:rFonts w:ascii="Times New Roman" w:hAnsi="Times New Roman"/>
                <w:lang w:val="en-US"/>
              </w:rPr>
              <w:t>02</w:t>
            </w:r>
            <w:r w:rsidR="0040255D">
              <w:rPr>
                <w:rFonts w:ascii="Times New Roman" w:hAnsi="Times New Roman"/>
                <w:lang w:val="en-US"/>
              </w:rPr>
              <w:t>,</w:t>
            </w:r>
            <w:r w:rsidRPr="00223540">
              <w:rPr>
                <w:rFonts w:ascii="Times New Roman" w:hAnsi="Times New Roman"/>
                <w:lang w:val="en-US"/>
              </w:rPr>
              <w:t xml:space="preserve"> 2021) </w:t>
            </w:r>
            <w:r w:rsidR="005E65D8">
              <w:rPr>
                <w:rFonts w:ascii="Times New Roman" w:hAnsi="Times New Roman"/>
                <w:lang w:val="en-US"/>
              </w:rPr>
              <w:t>was</w:t>
            </w:r>
            <w:r w:rsidRPr="00223540">
              <w:rPr>
                <w:rFonts w:ascii="Times New Roman" w:hAnsi="Times New Roman"/>
                <w:lang w:val="en-US"/>
              </w:rPr>
              <w:t xml:space="preserve"> equivalent to the amount of </w:t>
            </w:r>
            <w:r w:rsidR="0040255D">
              <w:rPr>
                <w:rFonts w:ascii="Times New Roman" w:hAnsi="Times New Roman"/>
                <w:lang w:val="en-US"/>
              </w:rPr>
              <w:t xml:space="preserve">RUB </w:t>
            </w:r>
            <w:r w:rsidRPr="00223540">
              <w:rPr>
                <w:rFonts w:ascii="Times New Roman" w:hAnsi="Times New Roman"/>
                <w:lang w:val="en-US"/>
              </w:rPr>
              <w:t>765</w:t>
            </w:r>
            <w:r w:rsidR="0040255D">
              <w:rPr>
                <w:rFonts w:ascii="Times New Roman" w:hAnsi="Times New Roman"/>
                <w:lang w:val="en-US"/>
              </w:rPr>
              <w:t>,</w:t>
            </w:r>
            <w:r w:rsidRPr="00223540">
              <w:rPr>
                <w:rFonts w:ascii="Times New Roman" w:hAnsi="Times New Roman"/>
                <w:lang w:val="en-US"/>
              </w:rPr>
              <w:t>555</w:t>
            </w:r>
            <w:r w:rsidR="0040255D">
              <w:rPr>
                <w:rFonts w:ascii="Times New Roman" w:hAnsi="Times New Roman"/>
                <w:lang w:val="en-US"/>
              </w:rPr>
              <w:t>,</w:t>
            </w:r>
            <w:r w:rsidRPr="00223540">
              <w:rPr>
                <w:rFonts w:ascii="Times New Roman" w:hAnsi="Times New Roman"/>
                <w:lang w:val="en-US"/>
              </w:rPr>
              <w:t>000 (seven hundred sixty-five million five hundred fifty-five thousand).</w:t>
            </w:r>
          </w:p>
          <w:p w14:paraId="521C9405" w14:textId="4BEA449A" w:rsidR="00223540" w:rsidRPr="00223540" w:rsidRDefault="00223540" w:rsidP="00223540">
            <w:pPr>
              <w:pStyle w:val="a6"/>
              <w:ind w:left="1058" w:hanging="142"/>
              <w:rPr>
                <w:rFonts w:ascii="Times New Roman" w:hAnsi="Times New Roman"/>
                <w:lang w:val="en-US"/>
              </w:rPr>
            </w:pPr>
            <w:r w:rsidRPr="00223540">
              <w:rPr>
                <w:rFonts w:ascii="Times New Roman" w:hAnsi="Times New Roman"/>
                <w:lang w:val="en-US"/>
              </w:rPr>
              <w:t xml:space="preserve">• The term for the fulfillment of obligations under the transaction: the surety agreement (independent guarantee) </w:t>
            </w:r>
            <w:r w:rsidR="005E65D8">
              <w:rPr>
                <w:rFonts w:ascii="Times New Roman" w:hAnsi="Times New Roman"/>
                <w:lang w:val="en-US"/>
              </w:rPr>
              <w:t xml:space="preserve">shall </w:t>
            </w:r>
            <w:r w:rsidRPr="00223540">
              <w:rPr>
                <w:rFonts w:ascii="Times New Roman" w:hAnsi="Times New Roman"/>
                <w:lang w:val="en-US"/>
              </w:rPr>
              <w:t>com</w:t>
            </w:r>
            <w:r w:rsidR="005E65D8">
              <w:rPr>
                <w:rFonts w:ascii="Times New Roman" w:hAnsi="Times New Roman"/>
                <w:lang w:val="en-US"/>
              </w:rPr>
              <w:t>e</w:t>
            </w:r>
            <w:r w:rsidRPr="00223540">
              <w:rPr>
                <w:rFonts w:ascii="Times New Roman" w:hAnsi="Times New Roman"/>
                <w:lang w:val="en-US"/>
              </w:rPr>
              <w:t xml:space="preserve"> into effect from the date of its signing and </w:t>
            </w:r>
            <w:r w:rsidR="005E65D8">
              <w:rPr>
                <w:rFonts w:ascii="Times New Roman" w:hAnsi="Times New Roman"/>
                <w:lang w:val="en-US"/>
              </w:rPr>
              <w:t xml:space="preserve">shall be </w:t>
            </w:r>
            <w:r w:rsidRPr="00223540">
              <w:rPr>
                <w:rFonts w:ascii="Times New Roman" w:hAnsi="Times New Roman"/>
                <w:lang w:val="en-US"/>
              </w:rPr>
              <w:t>valid for 20 years and 6 months.</w:t>
            </w:r>
          </w:p>
          <w:p w14:paraId="2D67702A" w14:textId="77777777" w:rsidR="00223540" w:rsidRPr="00223540" w:rsidRDefault="00223540" w:rsidP="00223540">
            <w:pPr>
              <w:pStyle w:val="a6"/>
              <w:ind w:left="1058" w:hanging="142"/>
              <w:rPr>
                <w:rFonts w:ascii="Times New Roman" w:hAnsi="Times New Roman"/>
                <w:lang w:val="en-US"/>
              </w:rPr>
            </w:pPr>
            <w:r w:rsidRPr="00223540">
              <w:rPr>
                <w:rFonts w:ascii="Times New Roman" w:hAnsi="Times New Roman"/>
                <w:lang w:val="en-US"/>
              </w:rPr>
              <w:t>• Applicable law: the law of the Russian Federation.</w:t>
            </w:r>
          </w:p>
          <w:p w14:paraId="7446C7C2" w14:textId="77777777" w:rsidR="00223540" w:rsidRPr="00223540" w:rsidRDefault="00223540" w:rsidP="00223540">
            <w:pPr>
              <w:pStyle w:val="a6"/>
              <w:ind w:left="1058" w:hanging="142"/>
              <w:rPr>
                <w:rFonts w:ascii="Times New Roman" w:hAnsi="Times New Roman"/>
                <w:lang w:val="en-US"/>
              </w:rPr>
            </w:pPr>
            <w:r w:rsidRPr="00223540">
              <w:rPr>
                <w:rFonts w:ascii="Times New Roman" w:hAnsi="Times New Roman"/>
                <w:lang w:val="en-US"/>
              </w:rPr>
              <w:t>• Persons interested in the transaction and the grounds for such interest:</w:t>
            </w:r>
          </w:p>
          <w:p w14:paraId="66186ED8" w14:textId="77777777" w:rsidR="00D92731" w:rsidRDefault="00D92731" w:rsidP="0040255D">
            <w:pPr>
              <w:pStyle w:val="a6"/>
              <w:ind w:left="1200" w:hanging="284"/>
              <w:rPr>
                <w:rFonts w:ascii="Times New Roman" w:hAnsi="Times New Roman"/>
                <w:lang w:val="en-US"/>
              </w:rPr>
            </w:pPr>
          </w:p>
          <w:p w14:paraId="76962EB8" w14:textId="77777777" w:rsidR="00D92731" w:rsidRDefault="00D92731" w:rsidP="0040255D">
            <w:pPr>
              <w:pStyle w:val="a6"/>
              <w:ind w:left="1200" w:hanging="284"/>
              <w:rPr>
                <w:rFonts w:ascii="Times New Roman" w:hAnsi="Times New Roman"/>
                <w:lang w:val="en-US"/>
              </w:rPr>
            </w:pPr>
          </w:p>
          <w:p w14:paraId="16604711" w14:textId="031A0098" w:rsidR="00332739" w:rsidRDefault="00332739" w:rsidP="0040255D">
            <w:pPr>
              <w:pStyle w:val="a6"/>
              <w:ind w:left="1200" w:hanging="284"/>
              <w:rPr>
                <w:rFonts w:ascii="Times New Roman" w:hAnsi="Times New Roman"/>
                <w:lang w:val="en-US"/>
              </w:rPr>
            </w:pPr>
          </w:p>
          <w:p w14:paraId="2D64CCB4" w14:textId="03678078" w:rsidR="00A91B05" w:rsidRPr="00223540" w:rsidRDefault="00A91B05" w:rsidP="00223540">
            <w:pPr>
              <w:pStyle w:val="a6"/>
              <w:numPr>
                <w:ilvl w:val="0"/>
                <w:numId w:val="32"/>
              </w:numPr>
              <w:rPr>
                <w:rFonts w:ascii="Times New Roman" w:hAnsi="Times New Roman"/>
                <w:lang w:val="en-US"/>
              </w:rPr>
            </w:pPr>
            <w:r w:rsidRPr="00223540">
              <w:rPr>
                <w:rFonts w:ascii="Times New Roman" w:hAnsi="Times New Roman"/>
                <w:lang w:val="en-US"/>
              </w:rPr>
              <w:lastRenderedPageBreak/>
              <w:t xml:space="preserve">On </w:t>
            </w:r>
            <w:r w:rsidR="00223540" w:rsidRPr="00223540">
              <w:rPr>
                <w:rFonts w:ascii="Times New Roman" w:hAnsi="Times New Roman"/>
                <w:lang w:val="en-US"/>
              </w:rPr>
              <w:t>determining</w:t>
            </w:r>
            <w:r w:rsidRPr="00223540">
              <w:rPr>
                <w:rFonts w:ascii="Times New Roman" w:hAnsi="Times New Roman"/>
                <w:lang w:val="en-US"/>
              </w:rPr>
              <w:t xml:space="preserve"> the monetary value (price) of a related party transaction.</w:t>
            </w:r>
          </w:p>
          <w:p w14:paraId="2CC19580" w14:textId="77777777" w:rsidR="00223540" w:rsidRDefault="00223540" w:rsidP="00A91B05">
            <w:pPr>
              <w:shd w:val="clear" w:color="auto" w:fill="FFFFFF"/>
              <w:ind w:left="491" w:hanging="491"/>
              <w:textAlignment w:val="top"/>
              <w:rPr>
                <w:sz w:val="24"/>
                <w:szCs w:val="24"/>
                <w:lang w:val="en-US"/>
              </w:rPr>
            </w:pPr>
          </w:p>
          <w:p w14:paraId="702E08CF" w14:textId="430C3BE6" w:rsidR="00223540" w:rsidRPr="000238D5" w:rsidRDefault="000238D5" w:rsidP="00A91B05">
            <w:pPr>
              <w:shd w:val="clear" w:color="auto" w:fill="FFFFFF"/>
              <w:ind w:left="491" w:hanging="491"/>
              <w:textAlignment w:val="top"/>
              <w:rPr>
                <w:sz w:val="24"/>
                <w:szCs w:val="24"/>
                <w:lang w:val="en-US"/>
              </w:rPr>
            </w:pPr>
            <w:r>
              <w:rPr>
                <w:sz w:val="24"/>
                <w:szCs w:val="24"/>
                <w:lang w:val="en-US"/>
              </w:rPr>
              <w:t xml:space="preserve">       </w:t>
            </w:r>
            <w:r w:rsidRPr="000238D5">
              <w:rPr>
                <w:sz w:val="24"/>
                <w:szCs w:val="24"/>
                <w:lang w:val="en-US"/>
              </w:rPr>
              <w:t>In accordance with Article 77 of the Federal Law No. 208-FZ dated December 26, 1995 "On Joint Stock Companies" determine that the monetary value (price) of the</w:t>
            </w:r>
            <w:r>
              <w:rPr>
                <w:sz w:val="24"/>
                <w:szCs w:val="24"/>
                <w:lang w:val="en-US"/>
              </w:rPr>
              <w:t xml:space="preserve"> </w:t>
            </w:r>
            <w:r w:rsidRPr="000238D5">
              <w:rPr>
                <w:sz w:val="24"/>
                <w:szCs w:val="24"/>
                <w:lang w:val="en-US"/>
              </w:rPr>
              <w:t xml:space="preserve">immovable property, namely, a Chemical water treatment plant (title 1121 (7430) with a controller (title 1121/1 (7431)), combined with the RTP title (124/99 (9599)) of the Complex of oil refineries and petrochemical plants in Nizhnekamsk, subject to alienation </w:t>
            </w:r>
            <w:r>
              <w:rPr>
                <w:sz w:val="24"/>
                <w:szCs w:val="24"/>
                <w:lang w:val="en-US"/>
              </w:rPr>
              <w:t xml:space="preserve">by </w:t>
            </w:r>
            <w:r w:rsidRPr="000238D5">
              <w:rPr>
                <w:sz w:val="24"/>
                <w:szCs w:val="24"/>
                <w:lang w:val="en-US"/>
              </w:rPr>
              <w:t>PJSC TATNEFT n</w:t>
            </w:r>
            <w:r>
              <w:rPr>
                <w:sz w:val="24"/>
                <w:szCs w:val="24"/>
                <w:lang w:val="en-US"/>
              </w:rPr>
              <w:t>.</w:t>
            </w:r>
            <w:r w:rsidRPr="000238D5">
              <w:rPr>
                <w:sz w:val="24"/>
                <w:szCs w:val="24"/>
                <w:lang w:val="en-US"/>
              </w:rPr>
              <w:t>a</w:t>
            </w:r>
            <w:r>
              <w:rPr>
                <w:sz w:val="24"/>
                <w:szCs w:val="24"/>
                <w:lang w:val="en-US"/>
              </w:rPr>
              <w:t>.</w:t>
            </w:r>
            <w:r w:rsidRPr="000238D5">
              <w:rPr>
                <w:sz w:val="24"/>
                <w:szCs w:val="24"/>
                <w:lang w:val="en-US"/>
              </w:rPr>
              <w:t xml:space="preserve"> V.D. Shashin to TANECO Joint Stock Company under a sale and purchase agreement </w:t>
            </w:r>
            <w:r>
              <w:rPr>
                <w:sz w:val="24"/>
                <w:szCs w:val="24"/>
                <w:lang w:val="en-US"/>
              </w:rPr>
              <w:t>shall</w:t>
            </w:r>
            <w:r w:rsidRPr="000238D5">
              <w:rPr>
                <w:sz w:val="24"/>
                <w:szCs w:val="24"/>
                <w:lang w:val="en-US"/>
              </w:rPr>
              <w:t xml:space="preserve"> </w:t>
            </w:r>
            <w:r>
              <w:rPr>
                <w:sz w:val="24"/>
                <w:szCs w:val="24"/>
                <w:lang w:val="en-US"/>
              </w:rPr>
              <w:t xml:space="preserve">be RUB </w:t>
            </w:r>
            <w:r w:rsidRPr="000238D5">
              <w:rPr>
                <w:sz w:val="24"/>
                <w:szCs w:val="24"/>
                <w:lang w:val="en-US"/>
              </w:rPr>
              <w:t xml:space="preserve">4,248,209,338 (four billion two hundred forty eight million two hundred nine thousand </w:t>
            </w:r>
            <w:r>
              <w:rPr>
                <w:sz w:val="24"/>
                <w:szCs w:val="24"/>
                <w:lang w:val="en-US"/>
              </w:rPr>
              <w:t xml:space="preserve"> </w:t>
            </w:r>
            <w:r w:rsidRPr="000238D5">
              <w:rPr>
                <w:sz w:val="24"/>
                <w:szCs w:val="24"/>
                <w:lang w:val="en-US"/>
              </w:rPr>
              <w:t xml:space="preserve"> hundred thirty eight) </w:t>
            </w:r>
            <w:r>
              <w:rPr>
                <w:sz w:val="24"/>
                <w:szCs w:val="24"/>
                <w:lang w:val="en-US"/>
              </w:rPr>
              <w:t>and</w:t>
            </w:r>
            <w:r w:rsidRPr="000238D5">
              <w:rPr>
                <w:sz w:val="24"/>
                <w:szCs w:val="24"/>
                <w:lang w:val="en-US"/>
              </w:rPr>
              <w:t xml:space="preserve"> 58 (fifty eight) kopecks (excluding VAT), which </w:t>
            </w:r>
            <w:r w:rsidR="00D92731">
              <w:rPr>
                <w:sz w:val="24"/>
                <w:szCs w:val="24"/>
                <w:lang w:val="en-US"/>
              </w:rPr>
              <w:t>accounts for</w:t>
            </w:r>
            <w:r w:rsidRPr="000238D5">
              <w:rPr>
                <w:sz w:val="24"/>
                <w:szCs w:val="24"/>
                <w:lang w:val="en-US"/>
              </w:rPr>
              <w:t xml:space="preserve"> 0.47% the </w:t>
            </w:r>
            <w:r w:rsidR="00D92731" w:rsidRPr="000238D5">
              <w:rPr>
                <w:sz w:val="24"/>
                <w:szCs w:val="24"/>
                <w:lang w:val="en-US"/>
              </w:rPr>
              <w:t>Company</w:t>
            </w:r>
            <w:r w:rsidR="00D92731">
              <w:rPr>
                <w:sz w:val="24"/>
                <w:szCs w:val="24"/>
                <w:lang w:val="en-US"/>
              </w:rPr>
              <w:t>’s</w:t>
            </w:r>
            <w:r w:rsidR="00D92731" w:rsidRPr="000238D5">
              <w:rPr>
                <w:sz w:val="24"/>
                <w:szCs w:val="24"/>
                <w:lang w:val="en-US"/>
              </w:rPr>
              <w:t xml:space="preserve"> assets </w:t>
            </w:r>
            <w:r w:rsidRPr="000238D5">
              <w:rPr>
                <w:sz w:val="24"/>
                <w:szCs w:val="24"/>
                <w:lang w:val="en-US"/>
              </w:rPr>
              <w:t xml:space="preserve">book value, determined according to the </w:t>
            </w:r>
            <w:r w:rsidR="00D92731" w:rsidRPr="000238D5">
              <w:rPr>
                <w:sz w:val="24"/>
                <w:szCs w:val="24"/>
                <w:lang w:val="en-US"/>
              </w:rPr>
              <w:t>Company</w:t>
            </w:r>
            <w:r w:rsidR="00D92731">
              <w:rPr>
                <w:sz w:val="24"/>
                <w:szCs w:val="24"/>
                <w:lang w:val="en-US"/>
              </w:rPr>
              <w:t>’s</w:t>
            </w:r>
            <w:r w:rsidR="00D92731" w:rsidRPr="000238D5">
              <w:rPr>
                <w:sz w:val="24"/>
                <w:szCs w:val="24"/>
                <w:lang w:val="en-US"/>
              </w:rPr>
              <w:t xml:space="preserve"> </w:t>
            </w:r>
            <w:r w:rsidRPr="000238D5">
              <w:rPr>
                <w:sz w:val="24"/>
                <w:szCs w:val="24"/>
                <w:lang w:val="en-US"/>
              </w:rPr>
              <w:t xml:space="preserve">accounting statements </w:t>
            </w:r>
            <w:r w:rsidR="00D92731" w:rsidRPr="000238D5">
              <w:rPr>
                <w:sz w:val="24"/>
                <w:szCs w:val="24"/>
                <w:lang w:val="en-US"/>
              </w:rPr>
              <w:t>data</w:t>
            </w:r>
            <w:r w:rsidRPr="000238D5">
              <w:rPr>
                <w:sz w:val="24"/>
                <w:szCs w:val="24"/>
                <w:lang w:val="en-US"/>
              </w:rPr>
              <w:t xml:space="preserve"> as of the last reporting date </w:t>
            </w:r>
            <w:r w:rsidR="00D92731">
              <w:rPr>
                <w:sz w:val="24"/>
                <w:szCs w:val="24"/>
                <w:lang w:val="en-US"/>
              </w:rPr>
              <w:t xml:space="preserve">of March </w:t>
            </w:r>
            <w:r w:rsidRPr="000238D5">
              <w:rPr>
                <w:sz w:val="24"/>
                <w:szCs w:val="24"/>
                <w:lang w:val="en-US"/>
              </w:rPr>
              <w:t>03</w:t>
            </w:r>
            <w:r w:rsidR="00D92731">
              <w:rPr>
                <w:sz w:val="24"/>
                <w:szCs w:val="24"/>
                <w:lang w:val="en-US"/>
              </w:rPr>
              <w:t xml:space="preserve">, </w:t>
            </w:r>
            <w:r w:rsidRPr="000238D5">
              <w:rPr>
                <w:sz w:val="24"/>
                <w:szCs w:val="24"/>
                <w:lang w:val="en-US"/>
              </w:rPr>
              <w:t>2021.</w:t>
            </w:r>
          </w:p>
          <w:p w14:paraId="67ECA699" w14:textId="7BBD7E8F" w:rsidR="000238D5" w:rsidRPr="00D92731" w:rsidRDefault="00D92731" w:rsidP="00A91B05">
            <w:pPr>
              <w:shd w:val="clear" w:color="auto" w:fill="FFFFFF"/>
              <w:ind w:left="491" w:hanging="491"/>
              <w:textAlignment w:val="top"/>
              <w:rPr>
                <w:sz w:val="24"/>
                <w:szCs w:val="24"/>
                <w:lang w:val="en-US"/>
              </w:rPr>
            </w:pPr>
            <w:r>
              <w:rPr>
                <w:lang w:val="en-US"/>
              </w:rPr>
              <w:t xml:space="preserve">          </w:t>
            </w:r>
            <w:r w:rsidRPr="00D92731">
              <w:rPr>
                <w:sz w:val="24"/>
                <w:szCs w:val="24"/>
                <w:lang w:val="en-US"/>
              </w:rPr>
              <w:t>The monetary value (price) of an immovable property is its lower limit, and upon alienation of the object, it can be increased by an amount not exceeding 25% of the lower limit of the monetary value (price) of the object.   PJSC TATNEFT n.a. V.D. Shashin is the person controlling JSC TANECO</w:t>
            </w:r>
            <w:r>
              <w:rPr>
                <w:sz w:val="24"/>
                <w:szCs w:val="24"/>
                <w:lang w:val="en-US"/>
              </w:rPr>
              <w:t>.</w:t>
            </w:r>
          </w:p>
          <w:p w14:paraId="70FCB6A7" w14:textId="17C2CF11" w:rsidR="000238D5" w:rsidRDefault="000238D5" w:rsidP="00A91B05">
            <w:pPr>
              <w:shd w:val="clear" w:color="auto" w:fill="FFFFFF"/>
              <w:ind w:left="491" w:hanging="491"/>
              <w:textAlignment w:val="top"/>
              <w:rPr>
                <w:sz w:val="24"/>
                <w:szCs w:val="24"/>
                <w:lang w:val="en-US"/>
              </w:rPr>
            </w:pPr>
          </w:p>
          <w:p w14:paraId="26943CA2" w14:textId="6EDB7F14" w:rsidR="00491575" w:rsidRPr="00223540" w:rsidRDefault="00A91B05" w:rsidP="00223540">
            <w:pPr>
              <w:pStyle w:val="a6"/>
              <w:numPr>
                <w:ilvl w:val="0"/>
                <w:numId w:val="32"/>
              </w:numPr>
              <w:shd w:val="clear" w:color="auto" w:fill="FFFFFF"/>
              <w:textAlignment w:val="top"/>
              <w:rPr>
                <w:rFonts w:ascii="Times New Roman" w:hAnsi="Times New Roman"/>
                <w:lang w:val="en-US"/>
              </w:rPr>
            </w:pPr>
            <w:r w:rsidRPr="00223540">
              <w:rPr>
                <w:rFonts w:ascii="Times New Roman" w:hAnsi="Times New Roman"/>
                <w:lang w:val="en-US"/>
              </w:rPr>
              <w:t>On consent to conclude the related party transaction.</w:t>
            </w:r>
          </w:p>
          <w:p w14:paraId="268B5D11" w14:textId="5FFD50AD" w:rsidR="00583A69" w:rsidRDefault="00583A69" w:rsidP="00420187">
            <w:pPr>
              <w:shd w:val="clear" w:color="auto" w:fill="FFFFFF"/>
              <w:textAlignment w:val="top"/>
              <w:rPr>
                <w:sz w:val="24"/>
                <w:szCs w:val="24"/>
                <w:lang w:val="en-US"/>
              </w:rPr>
            </w:pPr>
          </w:p>
          <w:p w14:paraId="70926DDE" w14:textId="7F5BA7DD" w:rsidR="00F946B2" w:rsidRPr="00F946B2" w:rsidRDefault="00F946B2" w:rsidP="00F946B2">
            <w:pPr>
              <w:shd w:val="clear" w:color="auto" w:fill="FFFFFF"/>
              <w:ind w:left="491" w:hanging="491"/>
              <w:textAlignment w:val="top"/>
              <w:rPr>
                <w:sz w:val="24"/>
                <w:szCs w:val="24"/>
                <w:lang w:val="en-US"/>
              </w:rPr>
            </w:pPr>
            <w:r>
              <w:rPr>
                <w:sz w:val="24"/>
                <w:szCs w:val="24"/>
                <w:lang w:val="en-US"/>
              </w:rPr>
              <w:t xml:space="preserve">     </w:t>
            </w:r>
            <w:r w:rsidRPr="00F946B2">
              <w:rPr>
                <w:sz w:val="24"/>
                <w:szCs w:val="24"/>
                <w:lang w:val="en-US"/>
              </w:rPr>
              <w:t xml:space="preserve">- </w:t>
            </w:r>
            <w:r>
              <w:rPr>
                <w:sz w:val="24"/>
                <w:szCs w:val="24"/>
                <w:lang w:val="en-US"/>
              </w:rPr>
              <w:t xml:space="preserve">  </w:t>
            </w:r>
            <w:r w:rsidRPr="00F946B2">
              <w:rPr>
                <w:sz w:val="24"/>
                <w:szCs w:val="24"/>
                <w:lang w:val="en-US"/>
              </w:rPr>
              <w:t xml:space="preserve">Agree (approve) the conclusion </w:t>
            </w:r>
            <w:r>
              <w:rPr>
                <w:sz w:val="24"/>
                <w:szCs w:val="24"/>
                <w:lang w:val="en-US"/>
              </w:rPr>
              <w:t>by</w:t>
            </w:r>
            <w:r w:rsidRPr="00F946B2">
              <w:rPr>
                <w:sz w:val="24"/>
                <w:szCs w:val="24"/>
                <w:lang w:val="en-US"/>
              </w:rPr>
              <w:t xml:space="preserve"> PJSC TATNEFT n.a. V.D. Shashin </w:t>
            </w:r>
            <w:r>
              <w:rPr>
                <w:sz w:val="24"/>
                <w:szCs w:val="24"/>
                <w:lang w:val="en-US"/>
              </w:rPr>
              <w:t xml:space="preserve">of the immovable </w:t>
            </w:r>
            <w:r w:rsidR="00DB226D">
              <w:rPr>
                <w:sz w:val="24"/>
                <w:szCs w:val="24"/>
                <w:lang w:val="en-US"/>
              </w:rPr>
              <w:t>property</w:t>
            </w:r>
            <w:r w:rsidRPr="00F946B2">
              <w:rPr>
                <w:sz w:val="24"/>
                <w:szCs w:val="24"/>
                <w:lang w:val="en-US"/>
              </w:rPr>
              <w:t xml:space="preserve"> purchase and sale agreement with JSC TANECO as an </w:t>
            </w:r>
            <w:r>
              <w:rPr>
                <w:sz w:val="24"/>
                <w:szCs w:val="24"/>
                <w:lang w:val="en-US"/>
              </w:rPr>
              <w:t>rela</w:t>
            </w:r>
            <w:r w:rsidRPr="00F946B2">
              <w:rPr>
                <w:sz w:val="24"/>
                <w:szCs w:val="24"/>
                <w:lang w:val="en-US"/>
              </w:rPr>
              <w:t xml:space="preserve">ted party transaction, on the following essential </w:t>
            </w:r>
            <w:r w:rsidR="00DB226D">
              <w:rPr>
                <w:sz w:val="24"/>
                <w:szCs w:val="24"/>
                <w:lang w:val="en-US"/>
              </w:rPr>
              <w:t xml:space="preserve">terms and </w:t>
            </w:r>
            <w:r w:rsidRPr="00F946B2">
              <w:rPr>
                <w:sz w:val="24"/>
                <w:szCs w:val="24"/>
                <w:lang w:val="en-US"/>
              </w:rPr>
              <w:t>conditions:</w:t>
            </w:r>
          </w:p>
          <w:p w14:paraId="1A85408E" w14:textId="77777777" w:rsidR="00F946B2" w:rsidRDefault="00F946B2" w:rsidP="00F946B2">
            <w:pPr>
              <w:shd w:val="clear" w:color="auto" w:fill="FFFFFF"/>
              <w:textAlignment w:val="top"/>
              <w:rPr>
                <w:sz w:val="24"/>
                <w:szCs w:val="24"/>
                <w:lang w:val="en-US"/>
              </w:rPr>
            </w:pPr>
          </w:p>
          <w:p w14:paraId="3C8DDFE0" w14:textId="6CF3A018" w:rsidR="00F946B2" w:rsidRPr="00F946B2" w:rsidRDefault="00F946B2" w:rsidP="00F946B2">
            <w:pPr>
              <w:shd w:val="clear" w:color="auto" w:fill="FFFFFF"/>
              <w:ind w:left="1058" w:hanging="425"/>
              <w:textAlignment w:val="top"/>
              <w:rPr>
                <w:sz w:val="24"/>
                <w:szCs w:val="24"/>
                <w:lang w:val="en-US"/>
              </w:rPr>
            </w:pPr>
            <w:r w:rsidRPr="00F946B2">
              <w:rPr>
                <w:sz w:val="24"/>
                <w:szCs w:val="24"/>
                <w:lang w:val="en-US"/>
              </w:rPr>
              <w:t xml:space="preserve">• </w:t>
            </w:r>
            <w:r w:rsidR="00DB226D" w:rsidRPr="00F946B2">
              <w:rPr>
                <w:sz w:val="24"/>
                <w:szCs w:val="24"/>
                <w:lang w:val="en-US"/>
              </w:rPr>
              <w:t xml:space="preserve">Parties </w:t>
            </w:r>
            <w:r w:rsidRPr="00F946B2">
              <w:rPr>
                <w:sz w:val="24"/>
                <w:szCs w:val="24"/>
                <w:lang w:val="en-US"/>
              </w:rPr>
              <w:t>to the transaction:</w:t>
            </w:r>
          </w:p>
          <w:p w14:paraId="29D26287" w14:textId="58E94C9D" w:rsidR="00F946B2" w:rsidRPr="00F946B2" w:rsidRDefault="00F946B2" w:rsidP="00F946B2">
            <w:pPr>
              <w:shd w:val="clear" w:color="auto" w:fill="FFFFFF"/>
              <w:ind w:left="1058" w:hanging="142"/>
              <w:textAlignment w:val="top"/>
              <w:rPr>
                <w:sz w:val="24"/>
                <w:szCs w:val="24"/>
                <w:lang w:val="en-US"/>
              </w:rPr>
            </w:pPr>
            <w:r w:rsidRPr="00F946B2">
              <w:rPr>
                <w:sz w:val="24"/>
                <w:szCs w:val="24"/>
                <w:lang w:val="en-US"/>
              </w:rPr>
              <w:t>- Public Joint Stock Company TATNEFT named after V.D. Shashin</w:t>
            </w:r>
            <w:r w:rsidR="00DB226D">
              <w:rPr>
                <w:sz w:val="24"/>
                <w:szCs w:val="24"/>
                <w:lang w:val="en-US"/>
              </w:rPr>
              <w:t xml:space="preserve"> </w:t>
            </w:r>
            <w:r w:rsidRPr="00F946B2">
              <w:rPr>
                <w:sz w:val="24"/>
                <w:szCs w:val="24"/>
                <w:lang w:val="en-US"/>
              </w:rPr>
              <w:t>(</w:t>
            </w:r>
            <w:r w:rsidR="00DB226D">
              <w:rPr>
                <w:sz w:val="24"/>
                <w:szCs w:val="24"/>
                <w:lang w:val="en-US"/>
              </w:rPr>
              <w:t>the S</w:t>
            </w:r>
            <w:r w:rsidRPr="00F946B2">
              <w:rPr>
                <w:sz w:val="24"/>
                <w:szCs w:val="24"/>
                <w:lang w:val="en-US"/>
              </w:rPr>
              <w:t>eller);</w:t>
            </w:r>
          </w:p>
          <w:p w14:paraId="071A99D5" w14:textId="04A54715" w:rsidR="00F946B2" w:rsidRPr="00F946B2" w:rsidRDefault="00F946B2" w:rsidP="00F946B2">
            <w:pPr>
              <w:shd w:val="clear" w:color="auto" w:fill="FFFFFF"/>
              <w:ind w:left="1058" w:hanging="142"/>
              <w:textAlignment w:val="top"/>
              <w:rPr>
                <w:sz w:val="24"/>
                <w:szCs w:val="24"/>
                <w:lang w:val="en-US"/>
              </w:rPr>
            </w:pPr>
            <w:r w:rsidRPr="00F946B2">
              <w:rPr>
                <w:sz w:val="24"/>
                <w:szCs w:val="24"/>
                <w:lang w:val="en-US"/>
              </w:rPr>
              <w:t>- Joint Stock Company TANECO (</w:t>
            </w:r>
            <w:r w:rsidR="00DB226D">
              <w:rPr>
                <w:sz w:val="24"/>
                <w:szCs w:val="24"/>
                <w:lang w:val="en-US"/>
              </w:rPr>
              <w:t xml:space="preserve">the </w:t>
            </w:r>
            <w:r w:rsidR="00DB226D" w:rsidRPr="00F946B2">
              <w:rPr>
                <w:sz w:val="24"/>
                <w:szCs w:val="24"/>
                <w:lang w:val="en-US"/>
              </w:rPr>
              <w:t>Buyer</w:t>
            </w:r>
            <w:r w:rsidRPr="00F946B2">
              <w:rPr>
                <w:sz w:val="24"/>
                <w:szCs w:val="24"/>
                <w:lang w:val="en-US"/>
              </w:rPr>
              <w:t>);</w:t>
            </w:r>
          </w:p>
          <w:p w14:paraId="228C2A1E" w14:textId="2A2B2137" w:rsidR="00F946B2" w:rsidRPr="00F946B2" w:rsidRDefault="00F946B2" w:rsidP="00F946B2">
            <w:pPr>
              <w:shd w:val="clear" w:color="auto" w:fill="FFFFFF"/>
              <w:ind w:left="1058" w:hanging="425"/>
              <w:textAlignment w:val="top"/>
              <w:rPr>
                <w:sz w:val="24"/>
                <w:szCs w:val="24"/>
                <w:lang w:val="en-US"/>
              </w:rPr>
            </w:pPr>
            <w:r w:rsidRPr="00F946B2">
              <w:rPr>
                <w:sz w:val="24"/>
                <w:szCs w:val="24"/>
                <w:lang w:val="en-US"/>
              </w:rPr>
              <w:t xml:space="preserve">• </w:t>
            </w:r>
            <w:r w:rsidR="00DB226D" w:rsidRPr="00F946B2">
              <w:rPr>
                <w:sz w:val="24"/>
                <w:szCs w:val="24"/>
                <w:lang w:val="en-US"/>
              </w:rPr>
              <w:t xml:space="preserve">Subject </w:t>
            </w:r>
            <w:r w:rsidRPr="00F946B2">
              <w:rPr>
                <w:sz w:val="24"/>
                <w:szCs w:val="24"/>
                <w:lang w:val="en-US"/>
              </w:rPr>
              <w:t>of the contract: purchase and sale of real estate;</w:t>
            </w:r>
          </w:p>
          <w:p w14:paraId="76387B0A" w14:textId="5AD81C21" w:rsidR="00F946B2" w:rsidRPr="00F946B2" w:rsidRDefault="00F946B2" w:rsidP="00F946B2">
            <w:pPr>
              <w:shd w:val="clear" w:color="auto" w:fill="FFFFFF"/>
              <w:ind w:left="1058" w:hanging="425"/>
              <w:textAlignment w:val="top"/>
              <w:rPr>
                <w:sz w:val="24"/>
                <w:szCs w:val="24"/>
                <w:lang w:val="en-US"/>
              </w:rPr>
            </w:pPr>
            <w:r w:rsidRPr="00F946B2">
              <w:rPr>
                <w:sz w:val="24"/>
                <w:szCs w:val="24"/>
                <w:lang w:val="en-US"/>
              </w:rPr>
              <w:t xml:space="preserve">• </w:t>
            </w:r>
            <w:r w:rsidR="00DB226D">
              <w:rPr>
                <w:sz w:val="24"/>
                <w:szCs w:val="24"/>
                <w:lang w:val="en-US"/>
              </w:rPr>
              <w:t xml:space="preserve">Immovable property </w:t>
            </w:r>
            <w:r w:rsidRPr="00F946B2">
              <w:rPr>
                <w:sz w:val="24"/>
                <w:szCs w:val="24"/>
                <w:lang w:val="en-US"/>
              </w:rPr>
              <w:t>object:</w:t>
            </w:r>
          </w:p>
          <w:p w14:paraId="6FD52D09" w14:textId="383B6D2D" w:rsidR="00F946B2" w:rsidRPr="00F946B2" w:rsidRDefault="00F946B2" w:rsidP="00F946B2">
            <w:pPr>
              <w:shd w:val="clear" w:color="auto" w:fill="FFFFFF"/>
              <w:ind w:left="1058" w:hanging="425"/>
              <w:textAlignment w:val="top"/>
              <w:rPr>
                <w:sz w:val="24"/>
                <w:szCs w:val="24"/>
                <w:lang w:val="en-US"/>
              </w:rPr>
            </w:pPr>
            <w:r w:rsidRPr="00F946B2">
              <w:rPr>
                <w:sz w:val="24"/>
                <w:szCs w:val="24"/>
                <w:lang w:val="en-US"/>
              </w:rPr>
              <w:t xml:space="preserve">- Installation of chemical water treatment (title 1121 (7430)) with controller (title 1121/1 (7431)), combined with RTP (title 124/99 (9599)) of the </w:t>
            </w:r>
            <w:r w:rsidR="00DB226D">
              <w:rPr>
                <w:sz w:val="24"/>
                <w:szCs w:val="24"/>
                <w:lang w:val="en-US"/>
              </w:rPr>
              <w:t xml:space="preserve">Refinery </w:t>
            </w:r>
            <w:r w:rsidRPr="00F946B2">
              <w:rPr>
                <w:sz w:val="24"/>
                <w:szCs w:val="24"/>
                <w:lang w:val="en-US"/>
              </w:rPr>
              <w:t xml:space="preserve">and </w:t>
            </w:r>
            <w:r w:rsidR="00DB226D" w:rsidRPr="00F946B2">
              <w:rPr>
                <w:sz w:val="24"/>
                <w:szCs w:val="24"/>
                <w:lang w:val="en-US"/>
              </w:rPr>
              <w:t xml:space="preserve">Petrochemical Plants Complex </w:t>
            </w:r>
            <w:r w:rsidRPr="00F946B2">
              <w:rPr>
                <w:sz w:val="24"/>
                <w:szCs w:val="24"/>
                <w:lang w:val="en-US"/>
              </w:rPr>
              <w:t>in Nizhnekamsk;</w:t>
            </w:r>
          </w:p>
          <w:p w14:paraId="602D9C97" w14:textId="277A5157" w:rsidR="00F946B2" w:rsidRPr="00F946B2" w:rsidRDefault="00F946B2" w:rsidP="00F946B2">
            <w:pPr>
              <w:shd w:val="clear" w:color="auto" w:fill="FFFFFF"/>
              <w:ind w:left="1058" w:hanging="425"/>
              <w:textAlignment w:val="top"/>
              <w:rPr>
                <w:sz w:val="24"/>
                <w:szCs w:val="24"/>
                <w:lang w:val="en-US"/>
              </w:rPr>
            </w:pPr>
            <w:r w:rsidRPr="00F946B2">
              <w:rPr>
                <w:sz w:val="24"/>
                <w:szCs w:val="24"/>
                <w:lang w:val="en-US"/>
              </w:rPr>
              <w:t>• transaction price (</w:t>
            </w:r>
            <w:r w:rsidR="00DB226D">
              <w:rPr>
                <w:sz w:val="24"/>
                <w:szCs w:val="24"/>
                <w:lang w:val="en-US"/>
              </w:rPr>
              <w:t xml:space="preserve">immovable property </w:t>
            </w:r>
            <w:r w:rsidRPr="00F946B2">
              <w:rPr>
                <w:sz w:val="24"/>
                <w:szCs w:val="24"/>
                <w:lang w:val="en-US"/>
              </w:rPr>
              <w:t>object):</w:t>
            </w:r>
          </w:p>
          <w:p w14:paraId="50DD4377" w14:textId="691ED213" w:rsidR="00F946B2" w:rsidRPr="00F946B2" w:rsidRDefault="00F946B2" w:rsidP="00F946B2">
            <w:pPr>
              <w:shd w:val="clear" w:color="auto" w:fill="FFFFFF"/>
              <w:ind w:left="1058" w:hanging="425"/>
              <w:textAlignment w:val="top"/>
              <w:rPr>
                <w:sz w:val="24"/>
                <w:szCs w:val="24"/>
                <w:lang w:val="en-US"/>
              </w:rPr>
            </w:pPr>
            <w:r w:rsidRPr="00F946B2">
              <w:rPr>
                <w:sz w:val="24"/>
                <w:szCs w:val="24"/>
                <w:lang w:val="en-US"/>
              </w:rPr>
              <w:t xml:space="preserve">- </w:t>
            </w:r>
            <w:r w:rsidR="00DB226D">
              <w:rPr>
                <w:sz w:val="24"/>
                <w:szCs w:val="24"/>
                <w:lang w:val="en-US"/>
              </w:rPr>
              <w:t xml:space="preserve">RUB </w:t>
            </w:r>
            <w:r w:rsidRPr="00F946B2">
              <w:rPr>
                <w:sz w:val="24"/>
                <w:szCs w:val="24"/>
                <w:lang w:val="en-US"/>
              </w:rPr>
              <w:t>4,248,209,338 (four billion two hundred forty</w:t>
            </w:r>
            <w:r w:rsidR="00DB226D">
              <w:rPr>
                <w:sz w:val="24"/>
                <w:szCs w:val="24"/>
                <w:lang w:val="en-US"/>
              </w:rPr>
              <w:t>-</w:t>
            </w:r>
            <w:r w:rsidRPr="00F946B2">
              <w:rPr>
                <w:sz w:val="24"/>
                <w:szCs w:val="24"/>
                <w:lang w:val="en-US"/>
              </w:rPr>
              <w:t>eight million two hundred nine thousand three hundred thirty</w:t>
            </w:r>
            <w:r w:rsidR="001F4686">
              <w:rPr>
                <w:sz w:val="24"/>
                <w:szCs w:val="24"/>
                <w:lang w:val="en-US"/>
              </w:rPr>
              <w:t>-</w:t>
            </w:r>
            <w:r w:rsidRPr="00F946B2">
              <w:rPr>
                <w:sz w:val="24"/>
                <w:szCs w:val="24"/>
                <w:lang w:val="en-US"/>
              </w:rPr>
              <w:t xml:space="preserve">eight) </w:t>
            </w:r>
            <w:r w:rsidR="00DB226D">
              <w:rPr>
                <w:sz w:val="24"/>
                <w:szCs w:val="24"/>
                <w:lang w:val="en-US"/>
              </w:rPr>
              <w:t xml:space="preserve">and </w:t>
            </w:r>
            <w:r w:rsidRPr="00F946B2">
              <w:rPr>
                <w:sz w:val="24"/>
                <w:szCs w:val="24"/>
                <w:lang w:val="en-US"/>
              </w:rPr>
              <w:t>58 (fifty</w:t>
            </w:r>
            <w:r w:rsidR="001F4686">
              <w:rPr>
                <w:sz w:val="24"/>
                <w:szCs w:val="24"/>
                <w:lang w:val="en-US"/>
              </w:rPr>
              <w:t>-</w:t>
            </w:r>
            <w:r w:rsidRPr="00F946B2">
              <w:rPr>
                <w:sz w:val="24"/>
                <w:szCs w:val="24"/>
                <w:lang w:val="en-US"/>
              </w:rPr>
              <w:t>eight) kopecks (excluding VAT).</w:t>
            </w:r>
          </w:p>
          <w:p w14:paraId="53721AAD" w14:textId="77777777" w:rsidR="00F946B2" w:rsidRPr="00F946B2" w:rsidRDefault="00F946B2" w:rsidP="00F946B2">
            <w:pPr>
              <w:shd w:val="clear" w:color="auto" w:fill="FFFFFF"/>
              <w:textAlignment w:val="top"/>
              <w:rPr>
                <w:sz w:val="24"/>
                <w:szCs w:val="24"/>
                <w:lang w:val="en-US"/>
              </w:rPr>
            </w:pPr>
          </w:p>
          <w:p w14:paraId="140CF902" w14:textId="47427A8F" w:rsidR="00F946B2" w:rsidRPr="00223540" w:rsidRDefault="00F946B2" w:rsidP="00F946B2">
            <w:pPr>
              <w:shd w:val="clear" w:color="auto" w:fill="FFFFFF"/>
              <w:textAlignment w:val="top"/>
              <w:rPr>
                <w:sz w:val="24"/>
                <w:szCs w:val="24"/>
                <w:lang w:val="en-US"/>
              </w:rPr>
            </w:pPr>
            <w:r w:rsidRPr="00F946B2">
              <w:rPr>
                <w:sz w:val="24"/>
                <w:szCs w:val="24"/>
                <w:lang w:val="en-US"/>
              </w:rPr>
              <w:t xml:space="preserve">The price of an immovable property is its lower limit, and upon alienation of </w:t>
            </w:r>
            <w:r w:rsidR="00DB226D">
              <w:rPr>
                <w:sz w:val="24"/>
                <w:szCs w:val="24"/>
                <w:lang w:val="en-US"/>
              </w:rPr>
              <w:t>the</w:t>
            </w:r>
            <w:r w:rsidRPr="00F946B2">
              <w:rPr>
                <w:sz w:val="24"/>
                <w:szCs w:val="24"/>
                <w:lang w:val="en-US"/>
              </w:rPr>
              <w:t xml:space="preserve"> object, it can be increased by an amount not exceeding 25% of the </w:t>
            </w:r>
            <w:r w:rsidR="001F4686" w:rsidRPr="00F946B2">
              <w:rPr>
                <w:sz w:val="24"/>
                <w:szCs w:val="24"/>
                <w:lang w:val="en-US"/>
              </w:rPr>
              <w:t xml:space="preserve">object price </w:t>
            </w:r>
            <w:r w:rsidRPr="00F946B2">
              <w:rPr>
                <w:sz w:val="24"/>
                <w:szCs w:val="24"/>
                <w:lang w:val="en-US"/>
              </w:rPr>
              <w:t>lower limit.</w:t>
            </w:r>
          </w:p>
          <w:p w14:paraId="5D4B8C73" w14:textId="77777777" w:rsidR="001F4686" w:rsidRDefault="001F4686" w:rsidP="001A1C09">
            <w:pPr>
              <w:shd w:val="clear" w:color="auto" w:fill="FFFFFF"/>
              <w:ind w:left="633" w:hanging="633"/>
              <w:textAlignment w:val="top"/>
              <w:rPr>
                <w:sz w:val="24"/>
                <w:szCs w:val="24"/>
                <w:lang w:val="en-US"/>
              </w:rPr>
            </w:pPr>
          </w:p>
          <w:p w14:paraId="42051D16" w14:textId="3BF8D9ED" w:rsidR="003B7BAE" w:rsidRPr="000B45F4" w:rsidRDefault="00876110" w:rsidP="001A1C09">
            <w:pPr>
              <w:shd w:val="clear" w:color="auto" w:fill="FFFFFF"/>
              <w:ind w:left="633" w:hanging="633"/>
              <w:textAlignment w:val="top"/>
              <w:rPr>
                <w:sz w:val="24"/>
                <w:szCs w:val="24"/>
                <w:lang w:val="en-US"/>
              </w:rPr>
            </w:pPr>
            <w:r>
              <w:rPr>
                <w:sz w:val="24"/>
                <w:szCs w:val="24"/>
                <w:lang w:val="en-US"/>
              </w:rPr>
              <w:t>2.3</w:t>
            </w:r>
            <w:r w:rsidR="003B7BAE" w:rsidRPr="000B45F4">
              <w:rPr>
                <w:sz w:val="24"/>
                <w:szCs w:val="24"/>
                <w:lang w:val="en-US"/>
              </w:rPr>
              <w:t xml:space="preserve">. </w:t>
            </w:r>
            <w:r w:rsidR="00CD604C">
              <w:rPr>
                <w:sz w:val="24"/>
                <w:szCs w:val="24"/>
                <w:lang w:val="en-US"/>
              </w:rPr>
              <w:t>The d</w:t>
            </w:r>
            <w:r w:rsidR="003B7BAE" w:rsidRPr="000B45F4">
              <w:rPr>
                <w:sz w:val="24"/>
                <w:szCs w:val="24"/>
                <w:lang w:val="en" w:eastAsia="ru-RU"/>
              </w:rPr>
              <w:t>ate of holding the Issuer’s Board of Directors (Supervisory Board) Meeting</w:t>
            </w:r>
            <w:r w:rsidR="00120656" w:rsidRPr="000B45F4">
              <w:rPr>
                <w:sz w:val="24"/>
                <w:szCs w:val="24"/>
                <w:lang w:val="en" w:eastAsia="ru-RU"/>
              </w:rPr>
              <w:t xml:space="preserve">, which </w:t>
            </w:r>
            <w:r w:rsidR="00DF510F" w:rsidRPr="000B45F4">
              <w:rPr>
                <w:sz w:val="24"/>
                <w:szCs w:val="24"/>
                <w:lang w:val="en"/>
              </w:rPr>
              <w:t xml:space="preserve">adopted </w:t>
            </w:r>
            <w:r w:rsidR="0045181B">
              <w:rPr>
                <w:sz w:val="24"/>
                <w:szCs w:val="24"/>
                <w:lang w:val="en"/>
              </w:rPr>
              <w:t xml:space="preserve">relevant </w:t>
            </w:r>
            <w:r w:rsidR="00DF510F" w:rsidRPr="000B45F4">
              <w:rPr>
                <w:sz w:val="24"/>
                <w:szCs w:val="24"/>
                <w:lang w:val="en"/>
              </w:rPr>
              <w:t>decisions</w:t>
            </w:r>
            <w:r w:rsidR="003B7BAE" w:rsidRPr="000B45F4">
              <w:rPr>
                <w:sz w:val="24"/>
                <w:szCs w:val="24"/>
                <w:lang w:val="en" w:eastAsia="ru-RU"/>
              </w:rPr>
              <w:t xml:space="preserve">:  </w:t>
            </w:r>
            <w:r w:rsidR="00035620">
              <w:rPr>
                <w:sz w:val="24"/>
                <w:szCs w:val="24"/>
                <w:lang w:val="en-US"/>
              </w:rPr>
              <w:t>July 2</w:t>
            </w:r>
            <w:r w:rsidR="00035620" w:rsidRPr="00035620">
              <w:rPr>
                <w:sz w:val="24"/>
                <w:szCs w:val="24"/>
                <w:lang w:val="en-US"/>
              </w:rPr>
              <w:t>7</w:t>
            </w:r>
            <w:r w:rsidR="00035620" w:rsidRPr="002C19D7">
              <w:rPr>
                <w:sz w:val="24"/>
                <w:szCs w:val="24"/>
                <w:lang w:val="en-US"/>
              </w:rPr>
              <w:t>, 20</w:t>
            </w:r>
            <w:r w:rsidR="00035620">
              <w:rPr>
                <w:sz w:val="24"/>
                <w:szCs w:val="24"/>
                <w:lang w:val="en-US"/>
              </w:rPr>
              <w:t>2</w:t>
            </w:r>
            <w:r w:rsidR="00035620" w:rsidRPr="00035620">
              <w:rPr>
                <w:sz w:val="24"/>
                <w:szCs w:val="24"/>
                <w:lang w:val="en-US"/>
              </w:rPr>
              <w:t>1</w:t>
            </w:r>
            <w:r w:rsidR="003B7BAE" w:rsidRPr="000B45F4">
              <w:rPr>
                <w:sz w:val="24"/>
                <w:szCs w:val="24"/>
                <w:lang w:val="en" w:eastAsia="ru-RU"/>
              </w:rPr>
              <w:t>.</w:t>
            </w:r>
          </w:p>
          <w:p w14:paraId="5939B1E7" w14:textId="77777777" w:rsidR="003B7BAE" w:rsidRPr="000B45F4" w:rsidRDefault="003B7BAE" w:rsidP="003B7BAE">
            <w:pPr>
              <w:pStyle w:val="2"/>
              <w:tabs>
                <w:tab w:val="left" w:pos="4027"/>
              </w:tabs>
              <w:ind w:left="0"/>
              <w:jc w:val="both"/>
              <w:rPr>
                <w:sz w:val="24"/>
                <w:szCs w:val="24"/>
                <w:lang w:val="en-US"/>
              </w:rPr>
            </w:pPr>
            <w:r w:rsidRPr="000B45F4">
              <w:rPr>
                <w:sz w:val="24"/>
                <w:szCs w:val="24"/>
                <w:lang w:val="en-US"/>
              </w:rPr>
              <w:tab/>
            </w:r>
          </w:p>
          <w:p w14:paraId="1F09A7FC" w14:textId="6052E568" w:rsidR="00B26A68" w:rsidRPr="000B45F4" w:rsidRDefault="00876110" w:rsidP="0068174D">
            <w:pPr>
              <w:pStyle w:val="1"/>
              <w:spacing w:before="0"/>
              <w:ind w:left="491" w:hanging="491"/>
              <w:jc w:val="both"/>
              <w:rPr>
                <w:sz w:val="24"/>
                <w:szCs w:val="24"/>
                <w:lang w:val="en-US"/>
              </w:rPr>
            </w:pPr>
            <w:r>
              <w:rPr>
                <w:sz w:val="24"/>
                <w:szCs w:val="24"/>
                <w:lang w:val="en-US"/>
              </w:rPr>
              <w:t>2.4</w:t>
            </w:r>
            <w:bookmarkStart w:id="3" w:name="_GoBack"/>
            <w:bookmarkEnd w:id="3"/>
            <w:r w:rsidR="003B7BAE" w:rsidRPr="000B45F4">
              <w:rPr>
                <w:sz w:val="24"/>
                <w:szCs w:val="24"/>
                <w:lang w:val="en-US"/>
              </w:rPr>
              <w:t xml:space="preserve">. </w:t>
            </w:r>
            <w:r w:rsidR="001A1C09">
              <w:rPr>
                <w:sz w:val="24"/>
                <w:szCs w:val="24"/>
                <w:lang w:val="en-US"/>
              </w:rPr>
              <w:t>The d</w:t>
            </w:r>
            <w:r w:rsidR="003B7BAE" w:rsidRPr="000B45F4">
              <w:rPr>
                <w:sz w:val="24"/>
                <w:szCs w:val="24"/>
                <w:lang w:val="en-US"/>
              </w:rPr>
              <w:t xml:space="preserve">ate of compiling and a number of </w:t>
            </w:r>
            <w:r w:rsidR="0068174D">
              <w:rPr>
                <w:sz w:val="24"/>
                <w:szCs w:val="24"/>
                <w:lang w:val="en-US"/>
              </w:rPr>
              <w:t xml:space="preserve">the </w:t>
            </w:r>
            <w:r w:rsidR="003B7BAE" w:rsidRPr="000B45F4">
              <w:rPr>
                <w:sz w:val="24"/>
                <w:szCs w:val="24"/>
                <w:lang w:val="en-US"/>
              </w:rPr>
              <w:t xml:space="preserve">Minutes of the Issuer’s </w:t>
            </w:r>
            <w:r w:rsidR="003B7BAE" w:rsidRPr="000B45F4">
              <w:rPr>
                <w:sz w:val="24"/>
                <w:szCs w:val="24"/>
                <w:lang w:val="en"/>
              </w:rPr>
              <w:t>Board of Directors</w:t>
            </w:r>
            <w:r w:rsidR="00DF510F" w:rsidRPr="000B45F4">
              <w:rPr>
                <w:sz w:val="24"/>
                <w:szCs w:val="24"/>
                <w:lang w:val="en"/>
              </w:rPr>
              <w:t xml:space="preserve"> meeting</w:t>
            </w:r>
            <w:r w:rsidR="003B7BAE" w:rsidRPr="000B45F4">
              <w:rPr>
                <w:sz w:val="24"/>
                <w:szCs w:val="24"/>
                <w:lang w:val="en"/>
              </w:rPr>
              <w:t xml:space="preserve">, which adopted </w:t>
            </w:r>
            <w:r w:rsidR="0045181B">
              <w:rPr>
                <w:sz w:val="24"/>
                <w:szCs w:val="24"/>
                <w:lang w:val="en"/>
              </w:rPr>
              <w:t>relevant</w:t>
            </w:r>
            <w:r w:rsidR="003B7BAE" w:rsidRPr="000B45F4">
              <w:rPr>
                <w:sz w:val="24"/>
                <w:szCs w:val="24"/>
                <w:lang w:val="en"/>
              </w:rPr>
              <w:t xml:space="preserve"> decisions:</w:t>
            </w:r>
            <w:r w:rsidR="003B7BAE" w:rsidRPr="000B45F4">
              <w:rPr>
                <w:sz w:val="24"/>
                <w:szCs w:val="24"/>
                <w:lang w:val="en-US"/>
              </w:rPr>
              <w:t xml:space="preserve"> </w:t>
            </w:r>
            <w:r w:rsidR="00035620">
              <w:rPr>
                <w:sz w:val="24"/>
                <w:szCs w:val="24"/>
                <w:lang w:val="en-US"/>
              </w:rPr>
              <w:t>July 2</w:t>
            </w:r>
            <w:r w:rsidR="00035620" w:rsidRPr="00035620">
              <w:rPr>
                <w:sz w:val="24"/>
                <w:szCs w:val="24"/>
                <w:lang w:val="en-US"/>
              </w:rPr>
              <w:t>7</w:t>
            </w:r>
            <w:r w:rsidR="00035620" w:rsidRPr="002C19D7">
              <w:rPr>
                <w:sz w:val="24"/>
                <w:szCs w:val="24"/>
                <w:lang w:val="en-US"/>
              </w:rPr>
              <w:t>, 20</w:t>
            </w:r>
            <w:r w:rsidR="00035620">
              <w:rPr>
                <w:sz w:val="24"/>
                <w:szCs w:val="24"/>
                <w:lang w:val="en-US"/>
              </w:rPr>
              <w:t>2</w:t>
            </w:r>
            <w:r w:rsidR="00035620" w:rsidRPr="00035620">
              <w:rPr>
                <w:sz w:val="24"/>
                <w:szCs w:val="24"/>
                <w:lang w:val="en-US"/>
              </w:rPr>
              <w:t>1</w:t>
            </w:r>
            <w:r w:rsidR="003B7BAE" w:rsidRPr="000B45F4">
              <w:rPr>
                <w:sz w:val="24"/>
                <w:szCs w:val="24"/>
                <w:lang w:val="en-US"/>
              </w:rPr>
              <w:t xml:space="preserve">, Minutes No. </w:t>
            </w:r>
            <w:r w:rsidR="0068174D" w:rsidRPr="001F4686">
              <w:rPr>
                <w:sz w:val="24"/>
                <w:szCs w:val="24"/>
                <w:lang w:val="en-US"/>
              </w:rPr>
              <w:t>3</w:t>
            </w:r>
            <w:r w:rsidR="00B26A68" w:rsidRPr="001F4686">
              <w:rPr>
                <w:sz w:val="24"/>
                <w:szCs w:val="24"/>
                <w:lang w:val="en-US"/>
              </w:rPr>
              <w:t xml:space="preserve">. </w:t>
            </w:r>
          </w:p>
        </w:tc>
      </w:tr>
      <w:bookmarkEnd w:id="0"/>
      <w:tr w:rsidR="00B26A68" w:rsidRPr="00C10F7C" w14:paraId="27DA200D" w14:textId="77777777" w:rsidTr="00DA4B1F">
        <w:tc>
          <w:tcPr>
            <w:tcW w:w="9497" w:type="dxa"/>
            <w:gridSpan w:val="2"/>
            <w:tcBorders>
              <w:top w:val="single" w:sz="4" w:space="0" w:color="auto"/>
              <w:left w:val="single" w:sz="4" w:space="0" w:color="auto"/>
              <w:bottom w:val="single" w:sz="4" w:space="0" w:color="auto"/>
              <w:right w:val="single" w:sz="4" w:space="0" w:color="auto"/>
            </w:tcBorders>
          </w:tcPr>
          <w:p w14:paraId="159247D3" w14:textId="77777777" w:rsidR="00B26A68" w:rsidRPr="002C19D7" w:rsidRDefault="00B26A68" w:rsidP="00B26A68">
            <w:pPr>
              <w:pStyle w:val="prilozhenie"/>
              <w:ind w:firstLine="0"/>
              <w:jc w:val="center"/>
            </w:pPr>
            <w:r w:rsidRPr="002C19D7">
              <w:lastRenderedPageBreak/>
              <w:t xml:space="preserve">3. </w:t>
            </w:r>
            <w:r w:rsidR="008437F1" w:rsidRPr="002C19D7">
              <w:rPr>
                <w:lang w:val="en-US"/>
              </w:rPr>
              <w:t>Signature</w:t>
            </w:r>
          </w:p>
        </w:tc>
      </w:tr>
      <w:tr w:rsidR="00B26A68" w:rsidRPr="00C10F7C" w14:paraId="24AF59E9" w14:textId="77777777" w:rsidTr="00DA4B1F">
        <w:tc>
          <w:tcPr>
            <w:tcW w:w="9497" w:type="dxa"/>
            <w:gridSpan w:val="2"/>
            <w:tcBorders>
              <w:top w:val="single" w:sz="4" w:space="0" w:color="auto"/>
              <w:left w:val="single" w:sz="4" w:space="0" w:color="auto"/>
              <w:bottom w:val="single" w:sz="4" w:space="0" w:color="auto"/>
              <w:right w:val="single" w:sz="4" w:space="0" w:color="auto"/>
            </w:tcBorders>
          </w:tcPr>
          <w:p w14:paraId="760C679D" w14:textId="77777777" w:rsidR="008437F1" w:rsidRPr="002C19D7" w:rsidRDefault="008437F1" w:rsidP="008437F1">
            <w:pPr>
              <w:jc w:val="both"/>
              <w:rPr>
                <w:color w:val="000000"/>
                <w:sz w:val="24"/>
                <w:szCs w:val="24"/>
                <w:lang w:val="en-US"/>
              </w:rPr>
            </w:pPr>
            <w:r w:rsidRPr="002C19D7">
              <w:rPr>
                <w:color w:val="000000"/>
                <w:sz w:val="24"/>
                <w:szCs w:val="24"/>
                <w:lang w:val="en-US"/>
              </w:rPr>
              <w:t xml:space="preserve">3.1. Deputy Head of the Corporate Secretary Office  </w:t>
            </w:r>
          </w:p>
          <w:p w14:paraId="54EFEA85" w14:textId="77777777" w:rsidR="008437F1" w:rsidRPr="002C19D7" w:rsidRDefault="008437F1" w:rsidP="008437F1">
            <w:pPr>
              <w:jc w:val="both"/>
              <w:rPr>
                <w:color w:val="000000"/>
                <w:sz w:val="24"/>
                <w:szCs w:val="24"/>
                <w:lang w:val="en-US"/>
              </w:rPr>
            </w:pPr>
            <w:r w:rsidRPr="002C19D7">
              <w:rPr>
                <w:color w:val="000000"/>
                <w:sz w:val="24"/>
                <w:szCs w:val="24"/>
                <w:lang w:val="en-US"/>
              </w:rPr>
              <w:t xml:space="preserve">        of PJSC TATNEFT                             ___________                       D.M. Gamirov     </w:t>
            </w:r>
          </w:p>
          <w:p w14:paraId="1304CD28" w14:textId="77777777" w:rsidR="008437F1" w:rsidRPr="002C19D7" w:rsidRDefault="008437F1" w:rsidP="008437F1">
            <w:pPr>
              <w:jc w:val="both"/>
              <w:rPr>
                <w:color w:val="000000"/>
                <w:sz w:val="24"/>
                <w:szCs w:val="24"/>
                <w:lang w:val="en-US"/>
              </w:rPr>
            </w:pPr>
          </w:p>
          <w:p w14:paraId="3A3F2D08" w14:textId="2061B43F" w:rsidR="00B26A68" w:rsidRPr="002C19D7" w:rsidRDefault="008437F1" w:rsidP="008437F1">
            <w:pPr>
              <w:pStyle w:val="prilozhenie"/>
              <w:ind w:firstLine="0"/>
            </w:pPr>
            <w:r w:rsidRPr="002C19D7">
              <w:rPr>
                <w:color w:val="000000"/>
                <w:lang w:val="en-US"/>
              </w:rPr>
              <w:t xml:space="preserve">3.2. Date: </w:t>
            </w:r>
            <w:r w:rsidR="00035620">
              <w:rPr>
                <w:lang w:val="en-US"/>
              </w:rPr>
              <w:t>July 2</w:t>
            </w:r>
            <w:r w:rsidR="00035620">
              <w:t>7</w:t>
            </w:r>
            <w:r w:rsidR="00035620" w:rsidRPr="002C19D7">
              <w:rPr>
                <w:lang w:val="en-US"/>
              </w:rPr>
              <w:t>, 20</w:t>
            </w:r>
            <w:r w:rsidR="00035620">
              <w:rPr>
                <w:lang w:val="en-US"/>
              </w:rPr>
              <w:t>2</w:t>
            </w:r>
            <w:r w:rsidR="00035620">
              <w:t>1</w:t>
            </w:r>
            <w:r w:rsidRPr="002C19D7">
              <w:rPr>
                <w:color w:val="000000"/>
                <w:lang w:val="en-US"/>
              </w:rPr>
              <w:t xml:space="preserve">                              Seal</w:t>
            </w:r>
          </w:p>
        </w:tc>
      </w:tr>
    </w:tbl>
    <w:p w14:paraId="7618F67D" w14:textId="77777777" w:rsidR="00FE227E" w:rsidRPr="00C10F7C" w:rsidRDefault="00FE227E" w:rsidP="00D46249">
      <w:pPr>
        <w:rPr>
          <w:sz w:val="24"/>
          <w:szCs w:val="24"/>
          <w:lang w:val="ru-RU"/>
        </w:rPr>
      </w:pPr>
    </w:p>
    <w:sectPr w:rsidR="00FE227E" w:rsidRPr="00C10F7C" w:rsidSect="00FE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DA0"/>
    <w:multiLevelType w:val="hybridMultilevel"/>
    <w:tmpl w:val="76C265B8"/>
    <w:lvl w:ilvl="0" w:tplc="618E0AE0">
      <w:start w:val="2"/>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1" w15:restartNumberingAfterBreak="0">
    <w:nsid w:val="01873FD8"/>
    <w:multiLevelType w:val="hybridMultilevel"/>
    <w:tmpl w:val="4352081E"/>
    <w:lvl w:ilvl="0" w:tplc="D69E1546">
      <w:start w:val="1"/>
      <w:numFmt w:val="decimal"/>
      <w:lvlText w:val="%1."/>
      <w:lvlJc w:val="left"/>
      <w:pPr>
        <w:ind w:left="465" w:hanging="360"/>
      </w:pPr>
      <w:rPr>
        <w:rFonts w:ascii="Arial" w:eastAsia="Times New Roman" w:hAnsi="Arial" w:cs="Arial"/>
      </w:rPr>
    </w:lvl>
    <w:lvl w:ilvl="1" w:tplc="CB3A0258">
      <w:start w:val="1"/>
      <w:numFmt w:val="decimal"/>
      <w:lvlText w:val="%2."/>
      <w:lvlJc w:val="left"/>
      <w:pPr>
        <w:ind w:left="1893" w:hanging="1068"/>
      </w:pPr>
      <w:rPr>
        <w:rFonts w:hint="default"/>
      </w:r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37A20C0"/>
    <w:multiLevelType w:val="hybridMultilevel"/>
    <w:tmpl w:val="55EEE312"/>
    <w:lvl w:ilvl="0" w:tplc="96D617C0">
      <w:start w:val="1"/>
      <w:numFmt w:val="bullet"/>
      <w:lvlText w:val=""/>
      <w:lvlJc w:val="left"/>
      <w:pPr>
        <w:ind w:left="1800" w:hanging="360"/>
      </w:pPr>
      <w:rPr>
        <w:rFonts w:ascii="Symbol" w:hAnsi="Symbol" w:hint="default"/>
      </w:rPr>
    </w:lvl>
    <w:lvl w:ilvl="1" w:tplc="96D617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904CC"/>
    <w:multiLevelType w:val="hybridMultilevel"/>
    <w:tmpl w:val="63A05B6C"/>
    <w:lvl w:ilvl="0" w:tplc="97A410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AEA71E7"/>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5" w15:restartNumberingAfterBreak="0">
    <w:nsid w:val="0B8F0B90"/>
    <w:multiLevelType w:val="multilevel"/>
    <w:tmpl w:val="378A31B2"/>
    <w:lvl w:ilvl="0">
      <w:start w:val="2"/>
      <w:numFmt w:val="decimal"/>
      <w:lvlText w:val="%1."/>
      <w:lvlJc w:val="left"/>
      <w:pPr>
        <w:ind w:left="504" w:hanging="504"/>
      </w:pPr>
      <w:rPr>
        <w:rFonts w:hint="default"/>
      </w:rPr>
    </w:lvl>
    <w:lvl w:ilvl="1">
      <w:start w:val="1"/>
      <w:numFmt w:val="decimal"/>
      <w:lvlText w:val="%1.%2."/>
      <w:lvlJc w:val="left"/>
      <w:pPr>
        <w:ind w:left="556" w:hanging="504"/>
      </w:pPr>
      <w:rPr>
        <w:rFonts w:hint="default"/>
      </w:rPr>
    </w:lvl>
    <w:lvl w:ilvl="2">
      <w:start w:val="2"/>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6" w15:restartNumberingAfterBreak="0">
    <w:nsid w:val="0E8B19FD"/>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7" w15:restartNumberingAfterBreak="0">
    <w:nsid w:val="0EFD378B"/>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8" w15:restartNumberingAfterBreak="0">
    <w:nsid w:val="11714BAA"/>
    <w:multiLevelType w:val="singleLevel"/>
    <w:tmpl w:val="110E8362"/>
    <w:lvl w:ilvl="0">
      <w:start w:val="1"/>
      <w:numFmt w:val="decimal"/>
      <w:lvlText w:val="%1."/>
      <w:legacy w:legacy="1" w:legacySpace="0" w:legacyIndent="218"/>
      <w:lvlJc w:val="left"/>
      <w:rPr>
        <w:rFonts w:ascii="Arial" w:hAnsi="Arial" w:cs="Arial" w:hint="default"/>
      </w:rPr>
    </w:lvl>
  </w:abstractNum>
  <w:abstractNum w:abstractNumId="9" w15:restartNumberingAfterBreak="0">
    <w:nsid w:val="122B3E41"/>
    <w:multiLevelType w:val="singleLevel"/>
    <w:tmpl w:val="110E8362"/>
    <w:lvl w:ilvl="0">
      <w:start w:val="1"/>
      <w:numFmt w:val="decimal"/>
      <w:lvlText w:val="%1."/>
      <w:legacy w:legacy="1" w:legacySpace="0" w:legacyIndent="218"/>
      <w:lvlJc w:val="left"/>
      <w:rPr>
        <w:rFonts w:ascii="Arial" w:hAnsi="Arial" w:cs="Arial" w:hint="default"/>
      </w:rPr>
    </w:lvl>
  </w:abstractNum>
  <w:abstractNum w:abstractNumId="10" w15:restartNumberingAfterBreak="0">
    <w:nsid w:val="1CFA639A"/>
    <w:multiLevelType w:val="hybridMultilevel"/>
    <w:tmpl w:val="BF68ABC0"/>
    <w:lvl w:ilvl="0" w:tplc="97A4105E">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1" w15:restartNumberingAfterBreak="0">
    <w:nsid w:val="20EE1589"/>
    <w:multiLevelType w:val="multilevel"/>
    <w:tmpl w:val="DFAEDBD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5E375F"/>
    <w:multiLevelType w:val="hybridMultilevel"/>
    <w:tmpl w:val="094C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B80DB8"/>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14" w15:restartNumberingAfterBreak="0">
    <w:nsid w:val="46E468C3"/>
    <w:multiLevelType w:val="hybridMultilevel"/>
    <w:tmpl w:val="8E90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C5564"/>
    <w:multiLevelType w:val="multilevel"/>
    <w:tmpl w:val="38882E7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7D4DBD"/>
    <w:multiLevelType w:val="hybridMultilevel"/>
    <w:tmpl w:val="1DB6367C"/>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B24C52"/>
    <w:multiLevelType w:val="hybridMultilevel"/>
    <w:tmpl w:val="47C26BE2"/>
    <w:lvl w:ilvl="0" w:tplc="04190001">
      <w:start w:val="1"/>
      <w:numFmt w:val="bullet"/>
      <w:lvlText w:val=""/>
      <w:lvlJc w:val="left"/>
      <w:pPr>
        <w:ind w:left="1185" w:hanging="360"/>
      </w:pPr>
      <w:rPr>
        <w:rFonts w:ascii="Symbol" w:hAnsi="Symbol" w:hint="default"/>
      </w:rPr>
    </w:lvl>
    <w:lvl w:ilvl="1" w:tplc="04190001">
      <w:start w:val="1"/>
      <w:numFmt w:val="bullet"/>
      <w:lvlText w:val=""/>
      <w:lvlJc w:val="left"/>
      <w:pPr>
        <w:ind w:left="1905" w:hanging="360"/>
      </w:pPr>
      <w:rPr>
        <w:rFonts w:ascii="Symbol" w:hAnsi="Symbol"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8" w15:restartNumberingAfterBreak="0">
    <w:nsid w:val="51D93910"/>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19" w15:restartNumberingAfterBreak="0">
    <w:nsid w:val="538C659B"/>
    <w:multiLevelType w:val="multilevel"/>
    <w:tmpl w:val="32A8AB0C"/>
    <w:lvl w:ilvl="0">
      <w:start w:val="2"/>
      <w:numFmt w:val="decimal"/>
      <w:lvlText w:val="%1."/>
      <w:lvlJc w:val="left"/>
      <w:pPr>
        <w:ind w:left="465" w:hanging="360"/>
      </w:pPr>
      <w:rPr>
        <w:rFonts w:ascii="Arial" w:eastAsia="Times New Roman" w:hAnsi="Arial" w:cs="Arial" w:hint="default"/>
      </w:rPr>
    </w:lvl>
    <w:lvl w:ilvl="1">
      <w:start w:val="1"/>
      <w:numFmt w:val="decimal"/>
      <w:isLgl/>
      <w:lvlText w:val="%1.%2."/>
      <w:lvlJc w:val="left"/>
      <w:pPr>
        <w:ind w:left="465"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20" w15:restartNumberingAfterBreak="0">
    <w:nsid w:val="56096C5D"/>
    <w:multiLevelType w:val="hybridMultilevel"/>
    <w:tmpl w:val="3D2E867E"/>
    <w:lvl w:ilvl="0" w:tplc="C560A9CA">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15:restartNumberingAfterBreak="0">
    <w:nsid w:val="578D0E4A"/>
    <w:multiLevelType w:val="multilevel"/>
    <w:tmpl w:val="B5144B5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A709E8"/>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23" w15:restartNumberingAfterBreak="0">
    <w:nsid w:val="5B9A6383"/>
    <w:multiLevelType w:val="multilevel"/>
    <w:tmpl w:val="C9D46F9E"/>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0202E3"/>
    <w:multiLevelType w:val="multilevel"/>
    <w:tmpl w:val="F608477A"/>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F46C49"/>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26" w15:restartNumberingAfterBreak="0">
    <w:nsid w:val="6CAB3704"/>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27" w15:restartNumberingAfterBreak="0">
    <w:nsid w:val="6D3A25C7"/>
    <w:multiLevelType w:val="hybridMultilevel"/>
    <w:tmpl w:val="2320F906"/>
    <w:lvl w:ilvl="0" w:tplc="A642C6BE">
      <w:start w:val="2"/>
      <w:numFmt w:val="bullet"/>
      <w:lvlText w:val="-"/>
      <w:lvlJc w:val="left"/>
      <w:pPr>
        <w:ind w:left="786" w:hanging="360"/>
      </w:pPr>
      <w:rPr>
        <w:rFonts w:ascii="Arial" w:eastAsia="Times New Roman"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6DB92D62"/>
    <w:multiLevelType w:val="hybridMultilevel"/>
    <w:tmpl w:val="91642CB6"/>
    <w:lvl w:ilvl="0" w:tplc="97A410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3F0D1D"/>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0" w15:restartNumberingAfterBreak="0">
    <w:nsid w:val="72D473F3"/>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1" w15:restartNumberingAfterBreak="0">
    <w:nsid w:val="7C19314A"/>
    <w:multiLevelType w:val="hybridMultilevel"/>
    <w:tmpl w:val="2B860B5E"/>
    <w:lvl w:ilvl="0" w:tplc="D69E1546">
      <w:start w:val="1"/>
      <w:numFmt w:val="decimal"/>
      <w:lvlText w:val="%1."/>
      <w:lvlJc w:val="left"/>
      <w:pPr>
        <w:ind w:left="465" w:hanging="360"/>
      </w:pPr>
      <w:rPr>
        <w:rFonts w:ascii="Arial" w:eastAsia="Times New Roman" w:hAnsi="Arial" w:cs="Arial"/>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num w:numId="1">
    <w:abstractNumId w:val="23"/>
  </w:num>
  <w:num w:numId="2">
    <w:abstractNumId w:val="17"/>
  </w:num>
  <w:num w:numId="3">
    <w:abstractNumId w:val="10"/>
  </w:num>
  <w:num w:numId="4">
    <w:abstractNumId w:val="2"/>
  </w:num>
  <w:num w:numId="5">
    <w:abstractNumId w:val="3"/>
  </w:num>
  <w:num w:numId="6">
    <w:abstractNumId w:val="14"/>
  </w:num>
  <w:num w:numId="7">
    <w:abstractNumId w:val="31"/>
  </w:num>
  <w:num w:numId="8">
    <w:abstractNumId w:val="7"/>
  </w:num>
  <w:num w:numId="9">
    <w:abstractNumId w:val="9"/>
  </w:num>
  <w:num w:numId="10">
    <w:abstractNumId w:val="8"/>
  </w:num>
  <w:num w:numId="11">
    <w:abstractNumId w:val="16"/>
  </w:num>
  <w:num w:numId="12">
    <w:abstractNumId w:val="6"/>
  </w:num>
  <w:num w:numId="13">
    <w:abstractNumId w:val="5"/>
  </w:num>
  <w:num w:numId="14">
    <w:abstractNumId w:val="24"/>
  </w:num>
  <w:num w:numId="15">
    <w:abstractNumId w:val="28"/>
  </w:num>
  <w:num w:numId="16">
    <w:abstractNumId w:val="18"/>
  </w:num>
  <w:num w:numId="17">
    <w:abstractNumId w:val="22"/>
  </w:num>
  <w:num w:numId="18">
    <w:abstractNumId w:val="30"/>
  </w:num>
  <w:num w:numId="19">
    <w:abstractNumId w:val="11"/>
  </w:num>
  <w:num w:numId="20">
    <w:abstractNumId w:val="25"/>
  </w:num>
  <w:num w:numId="21">
    <w:abstractNumId w:val="1"/>
  </w:num>
  <w:num w:numId="22">
    <w:abstractNumId w:val="19"/>
  </w:num>
  <w:num w:numId="23">
    <w:abstractNumId w:val="4"/>
  </w:num>
  <w:num w:numId="24">
    <w:abstractNumId w:val="0"/>
  </w:num>
  <w:num w:numId="25">
    <w:abstractNumId w:val="21"/>
  </w:num>
  <w:num w:numId="26">
    <w:abstractNumId w:val="29"/>
  </w:num>
  <w:num w:numId="27">
    <w:abstractNumId w:val="13"/>
  </w:num>
  <w:num w:numId="28">
    <w:abstractNumId w:val="26"/>
  </w:num>
  <w:num w:numId="29">
    <w:abstractNumId w:val="15"/>
  </w:num>
  <w:num w:numId="30">
    <w:abstractNumId w:val="27"/>
  </w:num>
  <w:num w:numId="31">
    <w:abstractNumId w:val="12"/>
  </w:num>
  <w:num w:numId="3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76"/>
    <w:rsid w:val="000078CD"/>
    <w:rsid w:val="00011064"/>
    <w:rsid w:val="00016807"/>
    <w:rsid w:val="00016A9C"/>
    <w:rsid w:val="00022FCF"/>
    <w:rsid w:val="000238D5"/>
    <w:rsid w:val="000260F5"/>
    <w:rsid w:val="00030131"/>
    <w:rsid w:val="00030EC3"/>
    <w:rsid w:val="0003260E"/>
    <w:rsid w:val="00034C98"/>
    <w:rsid w:val="00035620"/>
    <w:rsid w:val="00036729"/>
    <w:rsid w:val="00046795"/>
    <w:rsid w:val="00055164"/>
    <w:rsid w:val="00060BCB"/>
    <w:rsid w:val="000631FC"/>
    <w:rsid w:val="00063A1C"/>
    <w:rsid w:val="00065246"/>
    <w:rsid w:val="00065DEB"/>
    <w:rsid w:val="00075084"/>
    <w:rsid w:val="000809B0"/>
    <w:rsid w:val="00092407"/>
    <w:rsid w:val="00095019"/>
    <w:rsid w:val="000A3BB1"/>
    <w:rsid w:val="000B2861"/>
    <w:rsid w:val="000B45F4"/>
    <w:rsid w:val="000B6750"/>
    <w:rsid w:val="000B67CA"/>
    <w:rsid w:val="000B7D7F"/>
    <w:rsid w:val="000C2917"/>
    <w:rsid w:val="000E16AD"/>
    <w:rsid w:val="000E3E7F"/>
    <w:rsid w:val="000E57F1"/>
    <w:rsid w:val="000E6B09"/>
    <w:rsid w:val="000F064B"/>
    <w:rsid w:val="000F116E"/>
    <w:rsid w:val="000F2FE3"/>
    <w:rsid w:val="000F75C4"/>
    <w:rsid w:val="00100EBA"/>
    <w:rsid w:val="001029F0"/>
    <w:rsid w:val="00103AE6"/>
    <w:rsid w:val="00105C0F"/>
    <w:rsid w:val="0010758E"/>
    <w:rsid w:val="00112991"/>
    <w:rsid w:val="0011301A"/>
    <w:rsid w:val="0012036A"/>
    <w:rsid w:val="00120656"/>
    <w:rsid w:val="00131B7A"/>
    <w:rsid w:val="00133E9B"/>
    <w:rsid w:val="0014542A"/>
    <w:rsid w:val="0014572F"/>
    <w:rsid w:val="00145BBB"/>
    <w:rsid w:val="00150D45"/>
    <w:rsid w:val="00151FE9"/>
    <w:rsid w:val="0015327A"/>
    <w:rsid w:val="00155BE8"/>
    <w:rsid w:val="00181A64"/>
    <w:rsid w:val="00184E5E"/>
    <w:rsid w:val="001945F7"/>
    <w:rsid w:val="001A070A"/>
    <w:rsid w:val="001A1C09"/>
    <w:rsid w:val="001A7F04"/>
    <w:rsid w:val="001B5A1D"/>
    <w:rsid w:val="001C78CA"/>
    <w:rsid w:val="001D6ACE"/>
    <w:rsid w:val="001E0FAD"/>
    <w:rsid w:val="001E621F"/>
    <w:rsid w:val="001E6F98"/>
    <w:rsid w:val="001F4686"/>
    <w:rsid w:val="002015C2"/>
    <w:rsid w:val="00206075"/>
    <w:rsid w:val="00210939"/>
    <w:rsid w:val="00217B0F"/>
    <w:rsid w:val="00220CC4"/>
    <w:rsid w:val="00222CEC"/>
    <w:rsid w:val="00223540"/>
    <w:rsid w:val="002317D7"/>
    <w:rsid w:val="002415E9"/>
    <w:rsid w:val="00243A2D"/>
    <w:rsid w:val="00244D2E"/>
    <w:rsid w:val="00247F1F"/>
    <w:rsid w:val="0025273B"/>
    <w:rsid w:val="002528B1"/>
    <w:rsid w:val="0026027E"/>
    <w:rsid w:val="00263A7F"/>
    <w:rsid w:val="00267C2F"/>
    <w:rsid w:val="00277ECC"/>
    <w:rsid w:val="00281142"/>
    <w:rsid w:val="00281E51"/>
    <w:rsid w:val="00283E70"/>
    <w:rsid w:val="0028470E"/>
    <w:rsid w:val="002861C2"/>
    <w:rsid w:val="002A565D"/>
    <w:rsid w:val="002A698E"/>
    <w:rsid w:val="002C0099"/>
    <w:rsid w:val="002C1529"/>
    <w:rsid w:val="002C19D7"/>
    <w:rsid w:val="002C20EE"/>
    <w:rsid w:val="002C356E"/>
    <w:rsid w:val="002C3C0A"/>
    <w:rsid w:val="002C46F4"/>
    <w:rsid w:val="002C55E1"/>
    <w:rsid w:val="002C5A84"/>
    <w:rsid w:val="002E2E7E"/>
    <w:rsid w:val="002E784C"/>
    <w:rsid w:val="002E7F4C"/>
    <w:rsid w:val="002F4833"/>
    <w:rsid w:val="002F79FD"/>
    <w:rsid w:val="00302DBD"/>
    <w:rsid w:val="00307350"/>
    <w:rsid w:val="00310A47"/>
    <w:rsid w:val="00311E74"/>
    <w:rsid w:val="00315895"/>
    <w:rsid w:val="00323D56"/>
    <w:rsid w:val="00324630"/>
    <w:rsid w:val="00327CAF"/>
    <w:rsid w:val="00332739"/>
    <w:rsid w:val="0033352F"/>
    <w:rsid w:val="00336585"/>
    <w:rsid w:val="0034237C"/>
    <w:rsid w:val="00344737"/>
    <w:rsid w:val="00347B0A"/>
    <w:rsid w:val="00353D2C"/>
    <w:rsid w:val="00355FEC"/>
    <w:rsid w:val="00356622"/>
    <w:rsid w:val="003579CB"/>
    <w:rsid w:val="00360471"/>
    <w:rsid w:val="003663AC"/>
    <w:rsid w:val="0036722F"/>
    <w:rsid w:val="00370CB5"/>
    <w:rsid w:val="0037795D"/>
    <w:rsid w:val="00377BBF"/>
    <w:rsid w:val="003800BA"/>
    <w:rsid w:val="003856E5"/>
    <w:rsid w:val="0039076C"/>
    <w:rsid w:val="003A1189"/>
    <w:rsid w:val="003A7269"/>
    <w:rsid w:val="003B13C5"/>
    <w:rsid w:val="003B2678"/>
    <w:rsid w:val="003B2D19"/>
    <w:rsid w:val="003B73B2"/>
    <w:rsid w:val="003B7BAE"/>
    <w:rsid w:val="003C2976"/>
    <w:rsid w:val="003D44BF"/>
    <w:rsid w:val="003D7B97"/>
    <w:rsid w:val="003D7F2F"/>
    <w:rsid w:val="003E3CA4"/>
    <w:rsid w:val="003E67CC"/>
    <w:rsid w:val="003E7282"/>
    <w:rsid w:val="003F1BCF"/>
    <w:rsid w:val="0040255D"/>
    <w:rsid w:val="00404A4F"/>
    <w:rsid w:val="00412566"/>
    <w:rsid w:val="004149E5"/>
    <w:rsid w:val="00420187"/>
    <w:rsid w:val="00421DC2"/>
    <w:rsid w:val="0042468D"/>
    <w:rsid w:val="00435DAA"/>
    <w:rsid w:val="00436862"/>
    <w:rsid w:val="00444F4A"/>
    <w:rsid w:val="004510E6"/>
    <w:rsid w:val="0045181B"/>
    <w:rsid w:val="00455F2B"/>
    <w:rsid w:val="0045689A"/>
    <w:rsid w:val="00460D3C"/>
    <w:rsid w:val="004673D4"/>
    <w:rsid w:val="00467A1F"/>
    <w:rsid w:val="0047084C"/>
    <w:rsid w:val="00470CD3"/>
    <w:rsid w:val="00472EC6"/>
    <w:rsid w:val="0047616E"/>
    <w:rsid w:val="004766C3"/>
    <w:rsid w:val="00480EAE"/>
    <w:rsid w:val="00491575"/>
    <w:rsid w:val="004A0AC2"/>
    <w:rsid w:val="004B4969"/>
    <w:rsid w:val="004B7A5D"/>
    <w:rsid w:val="004C54CE"/>
    <w:rsid w:val="004D0FFC"/>
    <w:rsid w:val="004D60D4"/>
    <w:rsid w:val="004D7C9F"/>
    <w:rsid w:val="004D7D74"/>
    <w:rsid w:val="004E2024"/>
    <w:rsid w:val="004E4D8B"/>
    <w:rsid w:val="004E6476"/>
    <w:rsid w:val="004F416A"/>
    <w:rsid w:val="004F54C9"/>
    <w:rsid w:val="0050033D"/>
    <w:rsid w:val="00500B34"/>
    <w:rsid w:val="00504A30"/>
    <w:rsid w:val="00505F5E"/>
    <w:rsid w:val="005061A0"/>
    <w:rsid w:val="005078BF"/>
    <w:rsid w:val="00512B77"/>
    <w:rsid w:val="0051617A"/>
    <w:rsid w:val="005174DE"/>
    <w:rsid w:val="005204A9"/>
    <w:rsid w:val="005273B7"/>
    <w:rsid w:val="00530700"/>
    <w:rsid w:val="00532079"/>
    <w:rsid w:val="005336EA"/>
    <w:rsid w:val="005342F1"/>
    <w:rsid w:val="0053464D"/>
    <w:rsid w:val="005376AA"/>
    <w:rsid w:val="0054286B"/>
    <w:rsid w:val="00543734"/>
    <w:rsid w:val="00551C32"/>
    <w:rsid w:val="00555365"/>
    <w:rsid w:val="0055585F"/>
    <w:rsid w:val="0055728A"/>
    <w:rsid w:val="00560BE7"/>
    <w:rsid w:val="005621DB"/>
    <w:rsid w:val="0057306C"/>
    <w:rsid w:val="005758A4"/>
    <w:rsid w:val="005771ED"/>
    <w:rsid w:val="00580880"/>
    <w:rsid w:val="00582A23"/>
    <w:rsid w:val="00583938"/>
    <w:rsid w:val="00583A69"/>
    <w:rsid w:val="0058463E"/>
    <w:rsid w:val="00586492"/>
    <w:rsid w:val="005A2B78"/>
    <w:rsid w:val="005A6B3E"/>
    <w:rsid w:val="005B7C30"/>
    <w:rsid w:val="005C063D"/>
    <w:rsid w:val="005C69BA"/>
    <w:rsid w:val="005D2331"/>
    <w:rsid w:val="005D67BB"/>
    <w:rsid w:val="005E65D8"/>
    <w:rsid w:val="005F4B2B"/>
    <w:rsid w:val="005F6CC9"/>
    <w:rsid w:val="006025E8"/>
    <w:rsid w:val="00607006"/>
    <w:rsid w:val="00613104"/>
    <w:rsid w:val="006164AD"/>
    <w:rsid w:val="00622274"/>
    <w:rsid w:val="006232B1"/>
    <w:rsid w:val="00626CD6"/>
    <w:rsid w:val="00635C1C"/>
    <w:rsid w:val="00637307"/>
    <w:rsid w:val="00651132"/>
    <w:rsid w:val="00653A48"/>
    <w:rsid w:val="00665B0B"/>
    <w:rsid w:val="006677B5"/>
    <w:rsid w:val="00670375"/>
    <w:rsid w:val="00672A80"/>
    <w:rsid w:val="006731A1"/>
    <w:rsid w:val="00673BCB"/>
    <w:rsid w:val="006763FC"/>
    <w:rsid w:val="0067709A"/>
    <w:rsid w:val="0068174D"/>
    <w:rsid w:val="00684606"/>
    <w:rsid w:val="00685DF2"/>
    <w:rsid w:val="006868B7"/>
    <w:rsid w:val="00690529"/>
    <w:rsid w:val="006A27BA"/>
    <w:rsid w:val="006B5115"/>
    <w:rsid w:val="006C5980"/>
    <w:rsid w:val="006C744A"/>
    <w:rsid w:val="006C790F"/>
    <w:rsid w:val="006D2AEA"/>
    <w:rsid w:val="006E31EE"/>
    <w:rsid w:val="006F025E"/>
    <w:rsid w:val="006F06AD"/>
    <w:rsid w:val="006F3621"/>
    <w:rsid w:val="00703C2D"/>
    <w:rsid w:val="007042FA"/>
    <w:rsid w:val="00705FA4"/>
    <w:rsid w:val="00707748"/>
    <w:rsid w:val="00707C10"/>
    <w:rsid w:val="00710569"/>
    <w:rsid w:val="00712597"/>
    <w:rsid w:val="007177D3"/>
    <w:rsid w:val="0072352B"/>
    <w:rsid w:val="007316FE"/>
    <w:rsid w:val="00733266"/>
    <w:rsid w:val="00737384"/>
    <w:rsid w:val="007407CA"/>
    <w:rsid w:val="00765730"/>
    <w:rsid w:val="00766992"/>
    <w:rsid w:val="007673B8"/>
    <w:rsid w:val="0077017A"/>
    <w:rsid w:val="00772054"/>
    <w:rsid w:val="00776E43"/>
    <w:rsid w:val="00782FED"/>
    <w:rsid w:val="00786D3B"/>
    <w:rsid w:val="007A09E0"/>
    <w:rsid w:val="007A4FAA"/>
    <w:rsid w:val="007A62E7"/>
    <w:rsid w:val="007A7504"/>
    <w:rsid w:val="007B1090"/>
    <w:rsid w:val="007D3273"/>
    <w:rsid w:val="007F1310"/>
    <w:rsid w:val="007F5756"/>
    <w:rsid w:val="00800992"/>
    <w:rsid w:val="008030A6"/>
    <w:rsid w:val="00803411"/>
    <w:rsid w:val="00803AEA"/>
    <w:rsid w:val="008043AA"/>
    <w:rsid w:val="00812375"/>
    <w:rsid w:val="008135DC"/>
    <w:rsid w:val="00817C8F"/>
    <w:rsid w:val="00830009"/>
    <w:rsid w:val="008331D9"/>
    <w:rsid w:val="008333C1"/>
    <w:rsid w:val="00840A37"/>
    <w:rsid w:val="00841128"/>
    <w:rsid w:val="008437F1"/>
    <w:rsid w:val="008515FD"/>
    <w:rsid w:val="00852459"/>
    <w:rsid w:val="0085262B"/>
    <w:rsid w:val="0085278C"/>
    <w:rsid w:val="008558CF"/>
    <w:rsid w:val="008559BD"/>
    <w:rsid w:val="008611D8"/>
    <w:rsid w:val="00863509"/>
    <w:rsid w:val="008647DE"/>
    <w:rsid w:val="008673BF"/>
    <w:rsid w:val="0087108D"/>
    <w:rsid w:val="00872373"/>
    <w:rsid w:val="00874840"/>
    <w:rsid w:val="00876110"/>
    <w:rsid w:val="00887566"/>
    <w:rsid w:val="00887806"/>
    <w:rsid w:val="00891D6C"/>
    <w:rsid w:val="0089351F"/>
    <w:rsid w:val="008B4FCB"/>
    <w:rsid w:val="008B54D0"/>
    <w:rsid w:val="008C153B"/>
    <w:rsid w:val="008D5F88"/>
    <w:rsid w:val="008E0228"/>
    <w:rsid w:val="008F5C7A"/>
    <w:rsid w:val="008F72D6"/>
    <w:rsid w:val="009021BB"/>
    <w:rsid w:val="0090246C"/>
    <w:rsid w:val="00902BAB"/>
    <w:rsid w:val="0090496C"/>
    <w:rsid w:val="00910BE5"/>
    <w:rsid w:val="00912BBA"/>
    <w:rsid w:val="0092052B"/>
    <w:rsid w:val="0094247A"/>
    <w:rsid w:val="0094583E"/>
    <w:rsid w:val="00946D9F"/>
    <w:rsid w:val="0095706A"/>
    <w:rsid w:val="00964789"/>
    <w:rsid w:val="00964AA4"/>
    <w:rsid w:val="00965191"/>
    <w:rsid w:val="00973997"/>
    <w:rsid w:val="009747DE"/>
    <w:rsid w:val="00977656"/>
    <w:rsid w:val="0099297A"/>
    <w:rsid w:val="009A1FB6"/>
    <w:rsid w:val="009A28F6"/>
    <w:rsid w:val="009A6F4B"/>
    <w:rsid w:val="009B08CC"/>
    <w:rsid w:val="009B205F"/>
    <w:rsid w:val="009B7335"/>
    <w:rsid w:val="009C6211"/>
    <w:rsid w:val="009D176F"/>
    <w:rsid w:val="009D4EBC"/>
    <w:rsid w:val="009D707B"/>
    <w:rsid w:val="009D70B9"/>
    <w:rsid w:val="009E7D44"/>
    <w:rsid w:val="009F200D"/>
    <w:rsid w:val="009F7D32"/>
    <w:rsid w:val="00A032FE"/>
    <w:rsid w:val="00A04132"/>
    <w:rsid w:val="00A2181C"/>
    <w:rsid w:val="00A25363"/>
    <w:rsid w:val="00A25B99"/>
    <w:rsid w:val="00A2620E"/>
    <w:rsid w:val="00A26937"/>
    <w:rsid w:val="00A30AA2"/>
    <w:rsid w:val="00A33F02"/>
    <w:rsid w:val="00A356B5"/>
    <w:rsid w:val="00A36EAA"/>
    <w:rsid w:val="00A42D7B"/>
    <w:rsid w:val="00A43E57"/>
    <w:rsid w:val="00A540D3"/>
    <w:rsid w:val="00A54254"/>
    <w:rsid w:val="00A546A3"/>
    <w:rsid w:val="00A55887"/>
    <w:rsid w:val="00A57769"/>
    <w:rsid w:val="00A60B45"/>
    <w:rsid w:val="00A73A09"/>
    <w:rsid w:val="00A841CA"/>
    <w:rsid w:val="00A91B05"/>
    <w:rsid w:val="00AA23B0"/>
    <w:rsid w:val="00AA3378"/>
    <w:rsid w:val="00AC5095"/>
    <w:rsid w:val="00AC5F0D"/>
    <w:rsid w:val="00AD4490"/>
    <w:rsid w:val="00AD6732"/>
    <w:rsid w:val="00AE1C7F"/>
    <w:rsid w:val="00AE6694"/>
    <w:rsid w:val="00AF72EC"/>
    <w:rsid w:val="00B03D12"/>
    <w:rsid w:val="00B16802"/>
    <w:rsid w:val="00B26A68"/>
    <w:rsid w:val="00B27FC9"/>
    <w:rsid w:val="00B43BC9"/>
    <w:rsid w:val="00B43C21"/>
    <w:rsid w:val="00B60755"/>
    <w:rsid w:val="00B63B05"/>
    <w:rsid w:val="00B66C26"/>
    <w:rsid w:val="00B74DB4"/>
    <w:rsid w:val="00B752C4"/>
    <w:rsid w:val="00B76643"/>
    <w:rsid w:val="00B7751E"/>
    <w:rsid w:val="00B854DD"/>
    <w:rsid w:val="00B902C9"/>
    <w:rsid w:val="00B935FA"/>
    <w:rsid w:val="00B972D9"/>
    <w:rsid w:val="00BA1415"/>
    <w:rsid w:val="00BA1425"/>
    <w:rsid w:val="00BA735D"/>
    <w:rsid w:val="00BA7A95"/>
    <w:rsid w:val="00BB313B"/>
    <w:rsid w:val="00BB75C0"/>
    <w:rsid w:val="00BD1B31"/>
    <w:rsid w:val="00BD5B19"/>
    <w:rsid w:val="00BE1C8D"/>
    <w:rsid w:val="00BE492D"/>
    <w:rsid w:val="00BF2239"/>
    <w:rsid w:val="00BF5929"/>
    <w:rsid w:val="00BF7CF8"/>
    <w:rsid w:val="00C002BF"/>
    <w:rsid w:val="00C015EC"/>
    <w:rsid w:val="00C0498C"/>
    <w:rsid w:val="00C10F7C"/>
    <w:rsid w:val="00C127ED"/>
    <w:rsid w:val="00C16BC2"/>
    <w:rsid w:val="00C173D6"/>
    <w:rsid w:val="00C24098"/>
    <w:rsid w:val="00C268F7"/>
    <w:rsid w:val="00C2792B"/>
    <w:rsid w:val="00C30E0B"/>
    <w:rsid w:val="00C4027E"/>
    <w:rsid w:val="00C45AC9"/>
    <w:rsid w:val="00C6457B"/>
    <w:rsid w:val="00C82A64"/>
    <w:rsid w:val="00C83F7F"/>
    <w:rsid w:val="00C90CD8"/>
    <w:rsid w:val="00C913CB"/>
    <w:rsid w:val="00C919C9"/>
    <w:rsid w:val="00C9401D"/>
    <w:rsid w:val="00C96C48"/>
    <w:rsid w:val="00CA1257"/>
    <w:rsid w:val="00CA495B"/>
    <w:rsid w:val="00CB2E6F"/>
    <w:rsid w:val="00CC0B3B"/>
    <w:rsid w:val="00CC563F"/>
    <w:rsid w:val="00CD3E62"/>
    <w:rsid w:val="00CD604C"/>
    <w:rsid w:val="00CD740E"/>
    <w:rsid w:val="00CE377D"/>
    <w:rsid w:val="00CE3D10"/>
    <w:rsid w:val="00CE6C22"/>
    <w:rsid w:val="00CE784C"/>
    <w:rsid w:val="00CF011F"/>
    <w:rsid w:val="00CF1D80"/>
    <w:rsid w:val="00CF2430"/>
    <w:rsid w:val="00CF5B59"/>
    <w:rsid w:val="00CF733E"/>
    <w:rsid w:val="00D004B3"/>
    <w:rsid w:val="00D03847"/>
    <w:rsid w:val="00D03DAD"/>
    <w:rsid w:val="00D26196"/>
    <w:rsid w:val="00D3118F"/>
    <w:rsid w:val="00D43B13"/>
    <w:rsid w:val="00D46249"/>
    <w:rsid w:val="00D4794F"/>
    <w:rsid w:val="00D538B6"/>
    <w:rsid w:val="00D550C3"/>
    <w:rsid w:val="00D66662"/>
    <w:rsid w:val="00D6757A"/>
    <w:rsid w:val="00D707C3"/>
    <w:rsid w:val="00D76FDE"/>
    <w:rsid w:val="00D836EE"/>
    <w:rsid w:val="00D905E2"/>
    <w:rsid w:val="00D92731"/>
    <w:rsid w:val="00D95DF9"/>
    <w:rsid w:val="00D97910"/>
    <w:rsid w:val="00DA4431"/>
    <w:rsid w:val="00DA4B1F"/>
    <w:rsid w:val="00DB226D"/>
    <w:rsid w:val="00DB3457"/>
    <w:rsid w:val="00DB4C46"/>
    <w:rsid w:val="00DD3922"/>
    <w:rsid w:val="00DD568D"/>
    <w:rsid w:val="00DE2312"/>
    <w:rsid w:val="00DE4552"/>
    <w:rsid w:val="00DE6302"/>
    <w:rsid w:val="00DF510F"/>
    <w:rsid w:val="00DF7498"/>
    <w:rsid w:val="00E02B93"/>
    <w:rsid w:val="00E03A24"/>
    <w:rsid w:val="00E153A3"/>
    <w:rsid w:val="00E219F8"/>
    <w:rsid w:val="00E2567D"/>
    <w:rsid w:val="00E27BC2"/>
    <w:rsid w:val="00E3316A"/>
    <w:rsid w:val="00E36A06"/>
    <w:rsid w:val="00E37C11"/>
    <w:rsid w:val="00E4235B"/>
    <w:rsid w:val="00E43760"/>
    <w:rsid w:val="00E448EE"/>
    <w:rsid w:val="00E46849"/>
    <w:rsid w:val="00E5587F"/>
    <w:rsid w:val="00E608B2"/>
    <w:rsid w:val="00E658A7"/>
    <w:rsid w:val="00E65A04"/>
    <w:rsid w:val="00E708C9"/>
    <w:rsid w:val="00E764D5"/>
    <w:rsid w:val="00E83F20"/>
    <w:rsid w:val="00E86A18"/>
    <w:rsid w:val="00E87B98"/>
    <w:rsid w:val="00E94E1D"/>
    <w:rsid w:val="00E96570"/>
    <w:rsid w:val="00EB3AEB"/>
    <w:rsid w:val="00EC2398"/>
    <w:rsid w:val="00ED0218"/>
    <w:rsid w:val="00ED0407"/>
    <w:rsid w:val="00ED70E4"/>
    <w:rsid w:val="00EE4866"/>
    <w:rsid w:val="00EF096D"/>
    <w:rsid w:val="00F056BD"/>
    <w:rsid w:val="00F11109"/>
    <w:rsid w:val="00F11FA6"/>
    <w:rsid w:val="00F13A09"/>
    <w:rsid w:val="00F15879"/>
    <w:rsid w:val="00F203DA"/>
    <w:rsid w:val="00F2189D"/>
    <w:rsid w:val="00F23779"/>
    <w:rsid w:val="00F24DB9"/>
    <w:rsid w:val="00F37E2C"/>
    <w:rsid w:val="00F4288A"/>
    <w:rsid w:val="00F45BA6"/>
    <w:rsid w:val="00F50644"/>
    <w:rsid w:val="00F55857"/>
    <w:rsid w:val="00F577A6"/>
    <w:rsid w:val="00F62FF1"/>
    <w:rsid w:val="00F65B30"/>
    <w:rsid w:val="00F66CEE"/>
    <w:rsid w:val="00F729C1"/>
    <w:rsid w:val="00F749B8"/>
    <w:rsid w:val="00F759B3"/>
    <w:rsid w:val="00F80ACF"/>
    <w:rsid w:val="00F846A0"/>
    <w:rsid w:val="00F85300"/>
    <w:rsid w:val="00F85CAB"/>
    <w:rsid w:val="00F901DA"/>
    <w:rsid w:val="00F946B2"/>
    <w:rsid w:val="00F94B73"/>
    <w:rsid w:val="00FA05EA"/>
    <w:rsid w:val="00FA3709"/>
    <w:rsid w:val="00FB1F68"/>
    <w:rsid w:val="00FC01F3"/>
    <w:rsid w:val="00FC48C6"/>
    <w:rsid w:val="00FC6164"/>
    <w:rsid w:val="00FD7FDD"/>
    <w:rsid w:val="00FE0950"/>
    <w:rsid w:val="00FE227E"/>
    <w:rsid w:val="00FE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AF05E"/>
  <w15:chartTrackingRefBased/>
  <w15:docId w15:val="{121B2341-1D87-4206-93BD-AE02AFB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476"/>
    <w:rPr>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glava">
    <w:name w:val="prilozhenie glava"/>
    <w:basedOn w:val="a"/>
    <w:rsid w:val="004E6476"/>
    <w:pPr>
      <w:spacing w:before="240" w:after="240"/>
      <w:jc w:val="center"/>
    </w:pPr>
    <w:rPr>
      <w:b/>
      <w:bCs/>
      <w:caps/>
      <w:sz w:val="24"/>
      <w:szCs w:val="24"/>
      <w:lang w:val="ru-RU"/>
    </w:rPr>
  </w:style>
  <w:style w:type="paragraph" w:customStyle="1" w:styleId="prilozhenie">
    <w:name w:val="prilozhenie"/>
    <w:basedOn w:val="a"/>
    <w:rsid w:val="004E6476"/>
    <w:pPr>
      <w:ind w:firstLine="709"/>
      <w:jc w:val="both"/>
    </w:pPr>
    <w:rPr>
      <w:sz w:val="24"/>
      <w:szCs w:val="24"/>
      <w:lang w:val="ru-RU"/>
    </w:rPr>
  </w:style>
  <w:style w:type="table" w:styleId="a3">
    <w:name w:val="Table Grid"/>
    <w:basedOn w:val="a1"/>
    <w:rsid w:val="004E64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4E6476"/>
    <w:pPr>
      <w:widowControl w:val="0"/>
      <w:spacing w:before="40"/>
      <w:ind w:left="200"/>
    </w:pPr>
    <w:rPr>
      <w:snapToGrid w:val="0"/>
      <w:sz w:val="22"/>
    </w:rPr>
  </w:style>
  <w:style w:type="paragraph" w:styleId="a4">
    <w:name w:val="Balloon Text"/>
    <w:basedOn w:val="a"/>
    <w:semiHidden/>
    <w:rsid w:val="006F025E"/>
    <w:rPr>
      <w:rFonts w:ascii="Tahoma" w:hAnsi="Tahoma" w:cs="Tahoma"/>
      <w:sz w:val="16"/>
      <w:szCs w:val="16"/>
    </w:rPr>
  </w:style>
  <w:style w:type="character" w:styleId="a5">
    <w:name w:val="Hyperlink"/>
    <w:rsid w:val="00030EC3"/>
    <w:rPr>
      <w:color w:val="0000FF"/>
      <w:u w:val="single"/>
    </w:rPr>
  </w:style>
  <w:style w:type="paragraph" w:customStyle="1" w:styleId="ConsPlusNormal">
    <w:name w:val="ConsPlusNormal"/>
    <w:rsid w:val="00247F1F"/>
    <w:pPr>
      <w:autoSpaceDE w:val="0"/>
      <w:autoSpaceDN w:val="0"/>
      <w:adjustRightInd w:val="0"/>
    </w:pPr>
    <w:rPr>
      <w:rFonts w:ascii="Arial" w:hAnsi="Arial" w:cs="Arial"/>
    </w:rPr>
  </w:style>
  <w:style w:type="paragraph" w:styleId="a6">
    <w:name w:val="List Paragraph"/>
    <w:basedOn w:val="a"/>
    <w:qFormat/>
    <w:rsid w:val="00281E51"/>
    <w:pPr>
      <w:ind w:left="720"/>
      <w:contextualSpacing/>
    </w:pPr>
    <w:rPr>
      <w:rFonts w:ascii="Arial" w:hAnsi="Arial"/>
      <w:iCs/>
      <w:sz w:val="24"/>
      <w:szCs w:val="24"/>
      <w:lang w:val="ru-RU" w:eastAsia="ru-RU"/>
    </w:rPr>
  </w:style>
  <w:style w:type="paragraph" w:customStyle="1" w:styleId="10">
    <w:name w:val="Обычный1"/>
    <w:rsid w:val="00016807"/>
    <w:pPr>
      <w:widowControl w:val="0"/>
      <w:spacing w:before="40"/>
      <w:ind w:left="200"/>
    </w:pPr>
    <w:rPr>
      <w:snapToGrid w:val="0"/>
      <w:sz w:val="22"/>
    </w:rPr>
  </w:style>
  <w:style w:type="paragraph" w:customStyle="1" w:styleId="2">
    <w:name w:val="Обычный2"/>
    <w:rsid w:val="00155BE8"/>
    <w:pPr>
      <w:widowControl w:val="0"/>
      <w:spacing w:before="40"/>
      <w:ind w:left="200"/>
    </w:pPr>
    <w:rPr>
      <w:snapToGrid w:val="0"/>
      <w:sz w:val="22"/>
    </w:rPr>
  </w:style>
  <w:style w:type="paragraph" w:customStyle="1" w:styleId="Default">
    <w:name w:val="Default"/>
    <w:rsid w:val="00281142"/>
    <w:pPr>
      <w:autoSpaceDE w:val="0"/>
      <w:autoSpaceDN w:val="0"/>
      <w:adjustRightInd w:val="0"/>
    </w:pPr>
    <w:rPr>
      <w:rFonts w:ascii="Arial" w:eastAsia="Calibri" w:hAnsi="Arial" w:cs="Arial"/>
      <w:color w:val="000000"/>
      <w:sz w:val="24"/>
      <w:szCs w:val="24"/>
      <w:lang w:eastAsia="en-US"/>
    </w:rPr>
  </w:style>
  <w:style w:type="character" w:customStyle="1" w:styleId="SUBST">
    <w:name w:val="__SUBST"/>
    <w:rsid w:val="008558CF"/>
    <w:rPr>
      <w:b/>
      <w:i/>
      <w:sz w:val="22"/>
    </w:rPr>
  </w:style>
  <w:style w:type="paragraph" w:styleId="a7">
    <w:name w:val="Body Text"/>
    <w:basedOn w:val="a"/>
    <w:link w:val="a8"/>
    <w:unhideWhenUsed/>
    <w:rsid w:val="00353D2C"/>
    <w:rPr>
      <w:rFonts w:ascii="Arial" w:hAnsi="Arial"/>
      <w:sz w:val="22"/>
      <w:szCs w:val="24"/>
      <w:lang w:val="ru-RU" w:eastAsia="ru-RU"/>
    </w:rPr>
  </w:style>
  <w:style w:type="character" w:customStyle="1" w:styleId="a8">
    <w:name w:val="Основной текст Знак"/>
    <w:link w:val="a7"/>
    <w:rsid w:val="00353D2C"/>
    <w:rPr>
      <w:rFonts w:ascii="Arial" w:hAnsi="Arial"/>
      <w:sz w:val="22"/>
      <w:szCs w:val="24"/>
    </w:rPr>
  </w:style>
  <w:style w:type="paragraph" w:customStyle="1" w:styleId="ConsNormal">
    <w:name w:val="ConsNormal"/>
    <w:rsid w:val="00B26A68"/>
    <w:pPr>
      <w:widowControl w:val="0"/>
      <w:autoSpaceDE w:val="0"/>
      <w:autoSpaceDN w:val="0"/>
      <w:adjustRightInd w:val="0"/>
      <w:ind w:firstLine="720"/>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4257">
      <w:bodyDiv w:val="1"/>
      <w:marLeft w:val="0"/>
      <w:marRight w:val="0"/>
      <w:marTop w:val="0"/>
      <w:marBottom w:val="0"/>
      <w:divBdr>
        <w:top w:val="none" w:sz="0" w:space="0" w:color="auto"/>
        <w:left w:val="none" w:sz="0" w:space="0" w:color="auto"/>
        <w:bottom w:val="none" w:sz="0" w:space="0" w:color="auto"/>
        <w:right w:val="none" w:sz="0" w:space="0" w:color="auto"/>
      </w:divBdr>
    </w:div>
    <w:div w:id="7078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Documents%20and%20Settings\sharaginaoa\&#1052;&#1086;&#1080;%20&#1076;&#1086;&#1082;&#1091;&#1084;&#1077;&#1085;&#1090;&#1099;\&#1084;&#1085;&#1086;&#1075;&#1086;%20&#1044;&#1086;&#1082;&#1091;&#1084;&#1077;&#1085;&#1090;&#1099;%20&#1064;&#1072;&#1088;&#1072;&#1075;&#1080;&#1085;&#1086;&#1081;\&#1052;&#1085;&#1086;&#1075;&#1086;%20&#1084;&#1085;&#1086;&#1075;&#1086;%20&#1057;&#1091;&#1097;&#1077;&#1089;&#1090;&#1074;&#1077;&#1085;&#1085;&#1099;&#1077;%20&#1092;&#1072;&#1082;&#1090;&#1099;\&#1057;&#1091;&#1097;.&#1092;&#1072;&#1082;&#1090;&#1099;%20%202012%20&#1075;&#1086;&#1076;&#1072;%20&#1053;&#1086;&#1074;&#1072;&#1103;%20&#1087;&#1072;&#1087;&#1082;&#1072;\--ESFSECEV-TY3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tnef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18FC-134B-4245-99DF-6439D654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ОАО "Татнефть"</Company>
  <LinksUpToDate>false</LinksUpToDate>
  <CharactersWithSpaces>9057</CharactersWithSpaces>
  <SharedDoc>false</SharedDoc>
  <HLinks>
    <vt:vector size="12" baseType="variant">
      <vt:variant>
        <vt:i4>68748414</vt:i4>
      </vt:variant>
      <vt:variant>
        <vt:i4>3</vt:i4>
      </vt:variant>
      <vt:variant>
        <vt:i4>0</vt:i4>
      </vt:variant>
      <vt:variant>
        <vt:i4>5</vt:i4>
      </vt:variant>
      <vt:variant>
        <vt:lpwstr>C:\Documents and Settings\sharaginaoa\Мои документы\много Документы Шарагиной\Много много Существенные факты\Сущ.факты  2012 года Новая папка\--ESFSECEV-TY3013---------------------------------------</vt:lpwstr>
      </vt:variant>
      <vt:variant>
        <vt:lpwstr/>
      </vt:variant>
      <vt:variant>
        <vt:i4>6750306</vt:i4>
      </vt:variant>
      <vt:variant>
        <vt:i4>0</vt:i4>
      </vt:variant>
      <vt:variant>
        <vt:i4>0</vt:i4>
      </vt:variant>
      <vt:variant>
        <vt:i4>5</vt:i4>
      </vt:variant>
      <vt:variant>
        <vt:lpwstr>http://www.tatneft.ru/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AntsiferovAS</dc:creator>
  <cp:keywords/>
  <cp:lastModifiedBy>Техническая учетная запись</cp:lastModifiedBy>
  <cp:revision>3</cp:revision>
  <cp:lastPrinted>2018-04-23T12:58:00Z</cp:lastPrinted>
  <dcterms:created xsi:type="dcterms:W3CDTF">2021-07-27T13:18:00Z</dcterms:created>
  <dcterms:modified xsi:type="dcterms:W3CDTF">2021-07-28T05:29:00Z</dcterms:modified>
</cp:coreProperties>
</file>